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7627" w14:textId="689C5362" w:rsidR="00863BB7" w:rsidRDefault="00195BC6" w:rsidP="00863BB7">
      <w:pPr>
        <w:spacing w:after="0" w:line="240" w:lineRule="auto"/>
        <w:jc w:val="both"/>
        <w:rPr>
          <w:rFonts w:ascii="Times New Roman" w:hAnsi="Times New Roman" w:cs="Times New Roman"/>
          <w:b/>
          <w:bCs/>
          <w:sz w:val="24"/>
          <w:szCs w:val="24"/>
        </w:rPr>
      </w:pPr>
      <w:bookmarkStart w:id="0" w:name="_GoBack"/>
      <w:bookmarkEnd w:id="0"/>
      <w:r w:rsidRPr="00195BC6">
        <w:rPr>
          <w:rFonts w:ascii="Times New Roman" w:hAnsi="Times New Roman" w:cs="Times New Roman"/>
          <w:b/>
          <w:bCs/>
          <w:sz w:val="24"/>
          <w:szCs w:val="24"/>
        </w:rPr>
        <w:t>Identidade Constitucional e Estado de Direito na Área de Liberdade, Segurança e Justiça – desafios e paradigmas de uma mudança</w:t>
      </w:r>
    </w:p>
    <w:p w14:paraId="05027F02" w14:textId="77777777" w:rsidR="00195BC6" w:rsidRDefault="00195BC6" w:rsidP="00863BB7">
      <w:pPr>
        <w:spacing w:after="0" w:line="240" w:lineRule="auto"/>
        <w:jc w:val="both"/>
        <w:rPr>
          <w:rFonts w:ascii="Times New Roman" w:hAnsi="Times New Roman" w:cs="Times New Roman"/>
          <w:b/>
          <w:bCs/>
          <w:sz w:val="24"/>
          <w:szCs w:val="24"/>
        </w:rPr>
      </w:pPr>
    </w:p>
    <w:p w14:paraId="6615E196" w14:textId="2BF982B0" w:rsidR="00195BC6" w:rsidRDefault="00195BC6" w:rsidP="00863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Raquel Cardoso</w:t>
      </w:r>
      <w:r>
        <w:rPr>
          <w:rStyle w:val="Refdenotaalpie"/>
          <w:rFonts w:ascii="Times New Roman" w:hAnsi="Times New Roman" w:cs="Times New Roman"/>
          <w:sz w:val="24"/>
          <w:szCs w:val="24"/>
        </w:rPr>
        <w:footnoteReference w:customMarkFollows="1" w:id="1"/>
        <w:t>*</w:t>
      </w:r>
    </w:p>
    <w:p w14:paraId="6F0D3F04" w14:textId="77777777" w:rsidR="00C9188A" w:rsidRDefault="00C9188A" w:rsidP="00863BB7">
      <w:pPr>
        <w:spacing w:after="0" w:line="240" w:lineRule="auto"/>
        <w:jc w:val="both"/>
        <w:rPr>
          <w:rFonts w:ascii="Times New Roman" w:hAnsi="Times New Roman" w:cs="Times New Roman"/>
          <w:sz w:val="24"/>
          <w:szCs w:val="24"/>
        </w:rPr>
      </w:pPr>
    </w:p>
    <w:p w14:paraId="4FB8867F" w14:textId="67916EA3" w:rsidR="00195BC6" w:rsidRPr="00883416" w:rsidRDefault="00E04F31" w:rsidP="00883416">
      <w:pPr>
        <w:pStyle w:val="Prrafodelista"/>
        <w:numPr>
          <w:ilvl w:val="0"/>
          <w:numId w:val="3"/>
        </w:numPr>
        <w:spacing w:after="0" w:line="240" w:lineRule="auto"/>
        <w:jc w:val="both"/>
        <w:rPr>
          <w:rFonts w:ascii="Times New Roman" w:hAnsi="Times New Roman" w:cs="Times New Roman"/>
          <w:sz w:val="24"/>
          <w:szCs w:val="24"/>
        </w:rPr>
      </w:pPr>
      <w:r w:rsidRPr="00883416">
        <w:rPr>
          <w:rFonts w:ascii="Times New Roman" w:hAnsi="Times New Roman" w:cs="Times New Roman"/>
          <w:b/>
          <w:bCs/>
          <w:sz w:val="24"/>
          <w:szCs w:val="24"/>
        </w:rPr>
        <w:t>Introdução</w:t>
      </w:r>
      <w:r w:rsidR="00F13C86" w:rsidRPr="00883416">
        <w:rPr>
          <w:rFonts w:ascii="Times New Roman" w:hAnsi="Times New Roman" w:cs="Times New Roman"/>
          <w:b/>
          <w:bCs/>
          <w:sz w:val="24"/>
          <w:szCs w:val="24"/>
        </w:rPr>
        <w:t xml:space="preserve">: a identidade constitucional da UE </w:t>
      </w:r>
    </w:p>
    <w:p w14:paraId="0CDDEEAE" w14:textId="6457B830" w:rsidR="00E04F31" w:rsidRDefault="00731731" w:rsidP="004B24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Definir a identidade constitucional da UE pode ser</w:t>
      </w:r>
      <w:r w:rsidR="00BA0FD1">
        <w:rPr>
          <w:rFonts w:ascii="Times New Roman" w:hAnsi="Times New Roman" w:cs="Times New Roman"/>
          <w:sz w:val="24"/>
          <w:szCs w:val="24"/>
        </w:rPr>
        <w:t xml:space="preserve"> uma tarefa</w:t>
      </w:r>
      <w:r>
        <w:rPr>
          <w:rFonts w:ascii="Times New Roman" w:hAnsi="Times New Roman" w:cs="Times New Roman"/>
          <w:sz w:val="24"/>
          <w:szCs w:val="24"/>
        </w:rPr>
        <w:t xml:space="preserve"> desafiante, desde logo por</w:t>
      </w:r>
      <w:r w:rsidR="00BA0FD1">
        <w:rPr>
          <w:rFonts w:ascii="Times New Roman" w:hAnsi="Times New Roman" w:cs="Times New Roman"/>
          <w:sz w:val="24"/>
          <w:szCs w:val="24"/>
        </w:rPr>
        <w:t xml:space="preserve"> não existir consenso em relação ao que integra o próprio conceito</w:t>
      </w:r>
      <w:r w:rsidR="00BA0FD1">
        <w:rPr>
          <w:rStyle w:val="Refdenotaalpie"/>
          <w:rFonts w:ascii="Times New Roman" w:hAnsi="Times New Roman" w:cs="Times New Roman"/>
          <w:sz w:val="24"/>
          <w:szCs w:val="24"/>
        </w:rPr>
        <w:footnoteReference w:id="2"/>
      </w:r>
      <w:r w:rsidR="00BA0FD1">
        <w:rPr>
          <w:rFonts w:ascii="Times New Roman" w:hAnsi="Times New Roman" w:cs="Times New Roman"/>
          <w:sz w:val="24"/>
          <w:szCs w:val="24"/>
        </w:rPr>
        <w:t>.</w:t>
      </w:r>
      <w:r w:rsidR="00691DA2">
        <w:rPr>
          <w:rFonts w:ascii="Times New Roman" w:hAnsi="Times New Roman" w:cs="Times New Roman"/>
          <w:sz w:val="24"/>
          <w:szCs w:val="24"/>
        </w:rPr>
        <w:t xml:space="preserve"> </w:t>
      </w:r>
      <w:r w:rsidR="008A1AC7">
        <w:rPr>
          <w:rFonts w:ascii="Times New Roman" w:hAnsi="Times New Roman" w:cs="Times New Roman"/>
          <w:sz w:val="24"/>
          <w:szCs w:val="24"/>
        </w:rPr>
        <w:t xml:space="preserve">Antes de mais, é necessário distinguir a identidade constitucional da identidade </w:t>
      </w:r>
      <w:r w:rsidR="008A1AC7" w:rsidRPr="008A1AC7">
        <w:rPr>
          <w:rFonts w:ascii="Times New Roman" w:hAnsi="Times New Roman" w:cs="Times New Roman"/>
          <w:i/>
          <w:iCs/>
          <w:sz w:val="24"/>
          <w:szCs w:val="24"/>
        </w:rPr>
        <w:t>nacional</w:t>
      </w:r>
      <w:r w:rsidR="008A1AC7">
        <w:rPr>
          <w:rFonts w:ascii="Times New Roman" w:hAnsi="Times New Roman" w:cs="Times New Roman"/>
          <w:sz w:val="24"/>
          <w:szCs w:val="24"/>
        </w:rPr>
        <w:t xml:space="preserve">, uma vez que esta pode ser estabelecida </w:t>
      </w:r>
      <w:r w:rsidR="006A1D57">
        <w:rPr>
          <w:rFonts w:ascii="Times New Roman" w:hAnsi="Times New Roman" w:cs="Times New Roman"/>
          <w:sz w:val="24"/>
          <w:szCs w:val="24"/>
        </w:rPr>
        <w:t>sem necessariamente se recorrer à Constituição de uma entidade política: a identidade, qualquer que ela seja, serve o propósito de estabelecer uma ligação entre pessoas, baseada em aspectos comuns a todas – o que fará deles aspectos comuns a toda essa comunidade. Assim, e em relação à identidade constitucional, nem todas as normas contidas nessa lei fundamental farão parte da mesma, mas tão-somente aquelas que, pela sua natureza nuclear, denot</w:t>
      </w:r>
      <w:r w:rsidR="00D817C2">
        <w:rPr>
          <w:rFonts w:ascii="Times New Roman" w:hAnsi="Times New Roman" w:cs="Times New Roman"/>
          <w:sz w:val="24"/>
          <w:szCs w:val="24"/>
        </w:rPr>
        <w:t>a</w:t>
      </w:r>
      <w:r w:rsidR="006A1D57">
        <w:rPr>
          <w:rFonts w:ascii="Times New Roman" w:hAnsi="Times New Roman" w:cs="Times New Roman"/>
          <w:sz w:val="24"/>
          <w:szCs w:val="24"/>
        </w:rPr>
        <w:t>m as</w:t>
      </w:r>
      <w:r w:rsidR="00D817C2">
        <w:rPr>
          <w:rFonts w:ascii="Times New Roman" w:hAnsi="Times New Roman" w:cs="Times New Roman"/>
          <w:sz w:val="24"/>
          <w:szCs w:val="24"/>
        </w:rPr>
        <w:t xml:space="preserve"> características essenciais da ordem constitucional e a distinguem de outras</w:t>
      </w:r>
      <w:r w:rsidR="00D817C2">
        <w:rPr>
          <w:rStyle w:val="Refdenotaalpie"/>
          <w:rFonts w:ascii="Times New Roman" w:hAnsi="Times New Roman" w:cs="Times New Roman"/>
          <w:sz w:val="24"/>
          <w:szCs w:val="24"/>
        </w:rPr>
        <w:footnoteReference w:id="3"/>
      </w:r>
      <w:r w:rsidR="00D817C2">
        <w:rPr>
          <w:rFonts w:ascii="Times New Roman" w:hAnsi="Times New Roman" w:cs="Times New Roman"/>
          <w:sz w:val="24"/>
          <w:szCs w:val="24"/>
        </w:rPr>
        <w:t xml:space="preserve">, fazendo com que os sujeitos, confrontados com ameaças externas à sua identidade constitucional, </w:t>
      </w:r>
      <w:r w:rsidR="00A81146">
        <w:rPr>
          <w:rFonts w:ascii="Times New Roman" w:hAnsi="Times New Roman" w:cs="Times New Roman"/>
          <w:sz w:val="24"/>
          <w:szCs w:val="24"/>
        </w:rPr>
        <w:t>a elas possam recorrer</w:t>
      </w:r>
      <w:r w:rsidR="00D817C2">
        <w:rPr>
          <w:rFonts w:ascii="Times New Roman" w:hAnsi="Times New Roman" w:cs="Times New Roman"/>
          <w:sz w:val="24"/>
          <w:szCs w:val="24"/>
        </w:rPr>
        <w:t xml:space="preserve"> para</w:t>
      </w:r>
      <w:r w:rsidR="00A81146">
        <w:rPr>
          <w:rFonts w:ascii="Times New Roman" w:hAnsi="Times New Roman" w:cs="Times New Roman"/>
          <w:sz w:val="24"/>
          <w:szCs w:val="24"/>
        </w:rPr>
        <w:t xml:space="preserve"> reforçar a sua pertença a uma das ordens,</w:t>
      </w:r>
      <w:r w:rsidR="00D817C2">
        <w:rPr>
          <w:rFonts w:ascii="Times New Roman" w:hAnsi="Times New Roman" w:cs="Times New Roman"/>
          <w:sz w:val="24"/>
          <w:szCs w:val="24"/>
        </w:rPr>
        <w:t xml:space="preserve"> </w:t>
      </w:r>
      <w:r w:rsidR="00A81146">
        <w:rPr>
          <w:rFonts w:ascii="Times New Roman" w:hAnsi="Times New Roman" w:cs="Times New Roman"/>
          <w:sz w:val="24"/>
          <w:szCs w:val="24"/>
        </w:rPr>
        <w:t>rejeitando a outra</w:t>
      </w:r>
      <w:r w:rsidR="00D817C2">
        <w:rPr>
          <w:rStyle w:val="Refdenotaalpie"/>
          <w:rFonts w:ascii="Times New Roman" w:hAnsi="Times New Roman" w:cs="Times New Roman"/>
          <w:sz w:val="24"/>
          <w:szCs w:val="24"/>
        </w:rPr>
        <w:footnoteReference w:id="4"/>
      </w:r>
      <w:r w:rsidR="00D817C2">
        <w:rPr>
          <w:rFonts w:ascii="Times New Roman" w:hAnsi="Times New Roman" w:cs="Times New Roman"/>
          <w:sz w:val="24"/>
          <w:szCs w:val="24"/>
        </w:rPr>
        <w:t>.</w:t>
      </w:r>
    </w:p>
    <w:p w14:paraId="55EBE503" w14:textId="72541EE4" w:rsidR="00792148" w:rsidRDefault="00B40408" w:rsidP="004B24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particularidade da UE advém do processo de construção da sua identidade constitucional: por um lado, inclui a afirmação de princípios próprios (como o da unidade da ordem legal europeia, primado, cooperação leal, efeito directo ou interpretação conforme); por outro, a extracção e reconhecimento de princípios constitucionais comuns aos EM, que adquirem um sentido especificamente europeu. </w:t>
      </w:r>
      <w:r w:rsidR="004B2489">
        <w:rPr>
          <w:rFonts w:ascii="Times New Roman" w:hAnsi="Times New Roman" w:cs="Times New Roman"/>
          <w:sz w:val="24"/>
          <w:szCs w:val="24"/>
        </w:rPr>
        <w:t>A identidade constitucional inclui, assim, os valores (vertidos em normas) necessários para que todos os povos que compõem a UE se possam identificar com esse núcleo axiológico e, dessa forma, também com a Constituição Europeia</w:t>
      </w:r>
      <w:r w:rsidR="008C3628">
        <w:rPr>
          <w:rStyle w:val="Refdenotaalpie"/>
          <w:rFonts w:ascii="Times New Roman" w:hAnsi="Times New Roman" w:cs="Times New Roman"/>
          <w:sz w:val="24"/>
          <w:szCs w:val="24"/>
        </w:rPr>
        <w:footnoteReference w:id="5"/>
      </w:r>
      <w:r w:rsidR="004B2489">
        <w:rPr>
          <w:rFonts w:ascii="Times New Roman" w:hAnsi="Times New Roman" w:cs="Times New Roman"/>
          <w:sz w:val="24"/>
          <w:szCs w:val="24"/>
        </w:rPr>
        <w:t xml:space="preserve">. O processo de formação da identidade constitucional europeia é susceptível, por isso, de limitar </w:t>
      </w:r>
      <w:r w:rsidR="00F07AAA">
        <w:rPr>
          <w:rFonts w:ascii="Times New Roman" w:hAnsi="Times New Roman" w:cs="Times New Roman"/>
          <w:sz w:val="24"/>
          <w:szCs w:val="24"/>
        </w:rPr>
        <w:t xml:space="preserve">a individualidade de cada Constituição dos EM, o que é comummente aceite a favor da unidade que se pretende construir, </w:t>
      </w:r>
      <w:r w:rsidR="0014334C">
        <w:rPr>
          <w:rFonts w:ascii="Times New Roman" w:hAnsi="Times New Roman" w:cs="Times New Roman"/>
          <w:sz w:val="24"/>
          <w:szCs w:val="24"/>
        </w:rPr>
        <w:t>incluindo</w:t>
      </w:r>
      <w:r w:rsidR="00F07AAA">
        <w:rPr>
          <w:rFonts w:ascii="Times New Roman" w:hAnsi="Times New Roman" w:cs="Times New Roman"/>
          <w:sz w:val="24"/>
          <w:szCs w:val="24"/>
        </w:rPr>
        <w:t xml:space="preserve"> os valores mínimos necessários à sua aceitação por parte dos povos europeus (da UE). </w:t>
      </w:r>
    </w:p>
    <w:p w14:paraId="4342DBEE" w14:textId="572DA952" w:rsidR="008C3628" w:rsidRDefault="0019051F" w:rsidP="004B24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modelo constitucional europeu difere dos restantes hoje em existência</w:t>
      </w:r>
      <w:r>
        <w:rPr>
          <w:rStyle w:val="Refdenotaalpie"/>
          <w:rFonts w:ascii="Times New Roman" w:hAnsi="Times New Roman" w:cs="Times New Roman"/>
          <w:sz w:val="24"/>
          <w:szCs w:val="24"/>
        </w:rPr>
        <w:footnoteReference w:id="6"/>
      </w:r>
      <w:r>
        <w:rPr>
          <w:rFonts w:ascii="Times New Roman" w:hAnsi="Times New Roman" w:cs="Times New Roman"/>
          <w:sz w:val="24"/>
          <w:szCs w:val="24"/>
        </w:rPr>
        <w:t xml:space="preserve">, devido às características da ordem social e legal da qual emergiu. </w:t>
      </w:r>
      <w:r w:rsidR="00164680">
        <w:rPr>
          <w:rFonts w:ascii="Times New Roman" w:hAnsi="Times New Roman" w:cs="Times New Roman"/>
          <w:sz w:val="24"/>
          <w:szCs w:val="24"/>
        </w:rPr>
        <w:t xml:space="preserve">A multiplicidade de línguas e culturas presentes no território </w:t>
      </w:r>
      <w:r w:rsidR="00BA269B">
        <w:rPr>
          <w:rFonts w:ascii="Times New Roman" w:hAnsi="Times New Roman" w:cs="Times New Roman"/>
          <w:sz w:val="24"/>
          <w:szCs w:val="24"/>
        </w:rPr>
        <w:t>europeu</w:t>
      </w:r>
      <w:r w:rsidR="00164680">
        <w:rPr>
          <w:rFonts w:ascii="Times New Roman" w:hAnsi="Times New Roman" w:cs="Times New Roman"/>
          <w:sz w:val="24"/>
          <w:szCs w:val="24"/>
        </w:rPr>
        <w:t xml:space="preserve">, bem como o seu povo, ainda em contínua formação, </w:t>
      </w:r>
      <w:r w:rsidR="008F70CC">
        <w:rPr>
          <w:rFonts w:ascii="Times New Roman" w:hAnsi="Times New Roman" w:cs="Times New Roman"/>
          <w:sz w:val="24"/>
          <w:szCs w:val="24"/>
        </w:rPr>
        <w:t xml:space="preserve">determinaram a necessidade de simultaneamente </w:t>
      </w:r>
      <w:r w:rsidR="00BA269B">
        <w:rPr>
          <w:rFonts w:ascii="Times New Roman" w:hAnsi="Times New Roman" w:cs="Times New Roman"/>
          <w:sz w:val="24"/>
          <w:szCs w:val="24"/>
        </w:rPr>
        <w:t>a UE encontrar aspectos comuns a todos os EM</w:t>
      </w:r>
      <w:r w:rsidR="00BA269B">
        <w:rPr>
          <w:rStyle w:val="Refdenotaalpie"/>
          <w:rFonts w:ascii="Times New Roman" w:hAnsi="Times New Roman" w:cs="Times New Roman"/>
          <w:sz w:val="24"/>
          <w:szCs w:val="24"/>
        </w:rPr>
        <w:footnoteReference w:id="7"/>
      </w:r>
      <w:r w:rsidR="00BA269B">
        <w:rPr>
          <w:rFonts w:ascii="Times New Roman" w:hAnsi="Times New Roman" w:cs="Times New Roman"/>
          <w:sz w:val="24"/>
          <w:szCs w:val="24"/>
        </w:rPr>
        <w:t xml:space="preserve"> </w:t>
      </w:r>
      <w:r w:rsidR="00335795">
        <w:rPr>
          <w:rFonts w:ascii="Times New Roman" w:hAnsi="Times New Roman" w:cs="Times New Roman"/>
          <w:sz w:val="24"/>
          <w:szCs w:val="24"/>
        </w:rPr>
        <w:t xml:space="preserve">e permanecer flexível o suficiente para que a sua ordem constitucional fosse capaz de aceitar as particularidades de cada um deles. Assim, a </w:t>
      </w:r>
      <w:r w:rsidR="00335795">
        <w:rPr>
          <w:rFonts w:ascii="Times New Roman" w:hAnsi="Times New Roman" w:cs="Times New Roman"/>
          <w:sz w:val="24"/>
          <w:szCs w:val="24"/>
        </w:rPr>
        <w:lastRenderedPageBreak/>
        <w:t xml:space="preserve">relação que se estabelece entre as esferas nacionais e supranacional é única, no sentido em que procuram uma interacção harmoniosa, sem que uma oprima a outra. </w:t>
      </w:r>
    </w:p>
    <w:p w14:paraId="6D794145" w14:textId="70955ADC" w:rsidR="00335795" w:rsidRDefault="000719F5" w:rsidP="004B24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Embora</w:t>
      </w:r>
      <w:r w:rsidR="00335795">
        <w:rPr>
          <w:rFonts w:ascii="Times New Roman" w:hAnsi="Times New Roman" w:cs="Times New Roman"/>
          <w:sz w:val="24"/>
          <w:szCs w:val="24"/>
        </w:rPr>
        <w:t xml:space="preserve"> uma identidade não se consiga construir ou definir inteiramente a partir de uma negação – neste caso, </w:t>
      </w:r>
      <w:r>
        <w:rPr>
          <w:rFonts w:ascii="Times New Roman" w:hAnsi="Times New Roman" w:cs="Times New Roman"/>
          <w:sz w:val="24"/>
          <w:szCs w:val="24"/>
        </w:rPr>
        <w:t>através da</w:t>
      </w:r>
      <w:r w:rsidR="00335795">
        <w:rPr>
          <w:rFonts w:ascii="Times New Roman" w:hAnsi="Times New Roman" w:cs="Times New Roman"/>
          <w:sz w:val="24"/>
          <w:szCs w:val="24"/>
        </w:rPr>
        <w:t xml:space="preserve"> </w:t>
      </w:r>
      <w:r w:rsidR="00335795" w:rsidRPr="00335795">
        <w:rPr>
          <w:rFonts w:ascii="Times New Roman" w:hAnsi="Times New Roman" w:cs="Times New Roman"/>
          <w:i/>
          <w:iCs/>
          <w:sz w:val="24"/>
          <w:szCs w:val="24"/>
        </w:rPr>
        <w:t>rejeição</w:t>
      </w:r>
      <w:r w:rsidR="00335795">
        <w:rPr>
          <w:rFonts w:ascii="Times New Roman" w:hAnsi="Times New Roman" w:cs="Times New Roman"/>
          <w:sz w:val="24"/>
          <w:szCs w:val="24"/>
        </w:rPr>
        <w:t xml:space="preserve"> de valores que não se desejam incluir nessa identidade </w:t>
      </w:r>
      <w:r>
        <w:rPr>
          <w:rFonts w:ascii="Times New Roman" w:hAnsi="Times New Roman" w:cs="Times New Roman"/>
          <w:sz w:val="24"/>
          <w:szCs w:val="24"/>
        </w:rPr>
        <w:t xml:space="preserve">constitucional </w:t>
      </w:r>
      <w:r w:rsidR="00335795">
        <w:rPr>
          <w:rFonts w:ascii="Times New Roman" w:hAnsi="Times New Roman" w:cs="Times New Roman"/>
          <w:sz w:val="24"/>
          <w:szCs w:val="24"/>
        </w:rPr>
        <w:t xml:space="preserve">– é </w:t>
      </w:r>
      <w:r>
        <w:rPr>
          <w:rFonts w:ascii="Times New Roman" w:hAnsi="Times New Roman" w:cs="Times New Roman"/>
          <w:sz w:val="24"/>
          <w:szCs w:val="24"/>
        </w:rPr>
        <w:t xml:space="preserve">hoje </w:t>
      </w:r>
      <w:r w:rsidR="00335795">
        <w:rPr>
          <w:rFonts w:ascii="Times New Roman" w:hAnsi="Times New Roman" w:cs="Times New Roman"/>
          <w:sz w:val="24"/>
          <w:szCs w:val="24"/>
        </w:rPr>
        <w:t>(ainda) possível discern</w:t>
      </w:r>
      <w:r>
        <w:rPr>
          <w:rFonts w:ascii="Times New Roman" w:hAnsi="Times New Roman" w:cs="Times New Roman"/>
          <w:sz w:val="24"/>
          <w:szCs w:val="24"/>
        </w:rPr>
        <w:t xml:space="preserve">ir, na UE, a rejeição de valores totalitários ou autoritários, que se encontram em clara contradição com as suas origens e fundamentos plasmados no art. 2º do Tratado da União Europeia (TUE). </w:t>
      </w:r>
    </w:p>
    <w:p w14:paraId="0FDB5C3D" w14:textId="10A287EC" w:rsidR="00900CA9" w:rsidRDefault="00900CA9" w:rsidP="004B24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Todas estas ordens constitucionais estão, então, conectadas por um permanente sinalagma constitucional</w:t>
      </w:r>
      <w:r>
        <w:rPr>
          <w:rStyle w:val="Refdenotaalpie"/>
          <w:rFonts w:ascii="Times New Roman" w:hAnsi="Times New Roman" w:cs="Times New Roman"/>
          <w:sz w:val="24"/>
          <w:szCs w:val="24"/>
        </w:rPr>
        <w:footnoteReference w:id="8"/>
      </w:r>
      <w:r>
        <w:rPr>
          <w:rFonts w:ascii="Times New Roman" w:hAnsi="Times New Roman" w:cs="Times New Roman"/>
          <w:sz w:val="24"/>
          <w:szCs w:val="24"/>
        </w:rPr>
        <w:t>,</w:t>
      </w:r>
      <w:r w:rsidR="00067626">
        <w:rPr>
          <w:rFonts w:ascii="Times New Roman" w:hAnsi="Times New Roman" w:cs="Times New Roman"/>
          <w:sz w:val="24"/>
          <w:szCs w:val="24"/>
        </w:rPr>
        <w:t xml:space="preserve"> que determina uma influência mútua: as Constituições nacionais são influenciadas pela Constituição Europeia, que é influenciada e representa aspectos que são comuns a todos os EM, dessa forma vindo a fazer parte do núcleo constitucional europeu</w:t>
      </w:r>
      <w:r w:rsidR="00B87655">
        <w:rPr>
          <w:rStyle w:val="Refdenotaalpie"/>
          <w:rFonts w:ascii="Times New Roman" w:hAnsi="Times New Roman" w:cs="Times New Roman"/>
          <w:sz w:val="24"/>
          <w:szCs w:val="24"/>
        </w:rPr>
        <w:footnoteReference w:id="9"/>
      </w:r>
      <w:r w:rsidR="00067626">
        <w:rPr>
          <w:rFonts w:ascii="Times New Roman" w:hAnsi="Times New Roman" w:cs="Times New Roman"/>
          <w:sz w:val="24"/>
          <w:szCs w:val="24"/>
        </w:rPr>
        <w:t xml:space="preserve">. </w:t>
      </w:r>
    </w:p>
    <w:p w14:paraId="15B09AD3" w14:textId="77777777" w:rsidR="00F13C86" w:rsidRDefault="00F13C86" w:rsidP="00F13C86">
      <w:pPr>
        <w:spacing w:after="0" w:line="240" w:lineRule="auto"/>
        <w:jc w:val="both"/>
        <w:rPr>
          <w:rFonts w:ascii="Times New Roman" w:hAnsi="Times New Roman" w:cs="Times New Roman"/>
          <w:sz w:val="24"/>
          <w:szCs w:val="24"/>
        </w:rPr>
      </w:pPr>
    </w:p>
    <w:p w14:paraId="5FBDA01F" w14:textId="25B6E0B1" w:rsidR="00F13C86" w:rsidRPr="00883416" w:rsidRDefault="00F13C86" w:rsidP="00883416">
      <w:pPr>
        <w:pStyle w:val="Prrafodelista"/>
        <w:numPr>
          <w:ilvl w:val="0"/>
          <w:numId w:val="3"/>
        </w:numPr>
        <w:spacing w:after="0" w:line="240" w:lineRule="auto"/>
        <w:jc w:val="both"/>
        <w:rPr>
          <w:rFonts w:ascii="Times New Roman" w:hAnsi="Times New Roman" w:cs="Times New Roman"/>
          <w:b/>
          <w:bCs/>
          <w:sz w:val="24"/>
          <w:szCs w:val="24"/>
        </w:rPr>
      </w:pPr>
      <w:r w:rsidRPr="00883416">
        <w:rPr>
          <w:rFonts w:ascii="Times New Roman" w:hAnsi="Times New Roman" w:cs="Times New Roman"/>
          <w:b/>
          <w:bCs/>
          <w:sz w:val="24"/>
          <w:szCs w:val="24"/>
        </w:rPr>
        <w:t>A condição de Estado Membro –</w:t>
      </w:r>
      <w:r w:rsidR="005544ED" w:rsidRPr="00883416">
        <w:rPr>
          <w:rFonts w:ascii="Times New Roman" w:hAnsi="Times New Roman" w:cs="Times New Roman"/>
          <w:b/>
          <w:bCs/>
          <w:sz w:val="24"/>
          <w:szCs w:val="24"/>
        </w:rPr>
        <w:t xml:space="preserve"> as </w:t>
      </w:r>
      <w:r w:rsidRPr="00883416">
        <w:rPr>
          <w:rFonts w:ascii="Times New Roman" w:hAnsi="Times New Roman" w:cs="Times New Roman"/>
          <w:b/>
          <w:bCs/>
          <w:sz w:val="24"/>
          <w:szCs w:val="24"/>
        </w:rPr>
        <w:t>iniciais e contínuas</w:t>
      </w:r>
      <w:r w:rsidR="005544ED" w:rsidRPr="00883416">
        <w:rPr>
          <w:rFonts w:ascii="Times New Roman" w:hAnsi="Times New Roman" w:cs="Times New Roman"/>
          <w:b/>
          <w:bCs/>
          <w:sz w:val="24"/>
          <w:szCs w:val="24"/>
        </w:rPr>
        <w:t xml:space="preserve"> restrições</w:t>
      </w:r>
    </w:p>
    <w:p w14:paraId="740896CF" w14:textId="226E058D" w:rsidR="00BA0FD1" w:rsidRDefault="00C32490" w:rsidP="00F46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aspectos </w:t>
      </w:r>
      <w:r w:rsidR="00F46D11">
        <w:rPr>
          <w:rFonts w:ascii="Times New Roman" w:hAnsi="Times New Roman" w:cs="Times New Roman"/>
          <w:sz w:val="24"/>
          <w:szCs w:val="24"/>
        </w:rPr>
        <w:t>essenciais</w:t>
      </w:r>
      <w:r>
        <w:rPr>
          <w:rFonts w:ascii="Times New Roman" w:hAnsi="Times New Roman" w:cs="Times New Roman"/>
          <w:sz w:val="24"/>
          <w:szCs w:val="24"/>
        </w:rPr>
        <w:t xml:space="preserve"> da identidade constitucional europeia manifestam-se inicialmente pelas condições que são colocadas aos prospectivos </w:t>
      </w:r>
      <w:r w:rsidR="00C9188A">
        <w:rPr>
          <w:rFonts w:ascii="Times New Roman" w:hAnsi="Times New Roman" w:cs="Times New Roman"/>
          <w:sz w:val="24"/>
          <w:szCs w:val="24"/>
        </w:rPr>
        <w:t>EM</w:t>
      </w:r>
      <w:r>
        <w:rPr>
          <w:rFonts w:ascii="Times New Roman" w:hAnsi="Times New Roman" w:cs="Times New Roman"/>
          <w:sz w:val="24"/>
          <w:szCs w:val="24"/>
        </w:rPr>
        <w:t>: o art. 49º TUE indica que apenas os Estados europeus</w:t>
      </w:r>
      <w:r>
        <w:rPr>
          <w:rStyle w:val="Refdenotaalpie"/>
          <w:rFonts w:ascii="Times New Roman" w:hAnsi="Times New Roman" w:cs="Times New Roman"/>
          <w:sz w:val="24"/>
          <w:szCs w:val="24"/>
        </w:rPr>
        <w:footnoteReference w:id="10"/>
      </w:r>
      <w:r w:rsidR="00CA7FCB">
        <w:rPr>
          <w:rFonts w:ascii="Times New Roman" w:hAnsi="Times New Roman" w:cs="Times New Roman"/>
          <w:sz w:val="24"/>
          <w:szCs w:val="24"/>
        </w:rPr>
        <w:t xml:space="preserve"> que respeitem os valores mencionados no art. 2º podem candidatar-se a ser Membros da UE. Em relação à sua qualidade, estes são indubitavelmente valores </w:t>
      </w:r>
      <w:r w:rsidR="00CA7FCB" w:rsidRPr="00CA7FCB">
        <w:rPr>
          <w:rFonts w:ascii="Times New Roman" w:hAnsi="Times New Roman" w:cs="Times New Roman"/>
          <w:i/>
          <w:iCs/>
          <w:sz w:val="24"/>
          <w:szCs w:val="24"/>
        </w:rPr>
        <w:t>fundamentais</w:t>
      </w:r>
      <w:r w:rsidR="00CA7FCB">
        <w:rPr>
          <w:rFonts w:ascii="Times New Roman" w:hAnsi="Times New Roman" w:cs="Times New Roman"/>
          <w:sz w:val="24"/>
          <w:szCs w:val="24"/>
        </w:rPr>
        <w:t xml:space="preserve"> da UE – o que justifica o regime sancionatório especial plasmado no art. 7º TUE</w:t>
      </w:r>
      <w:r w:rsidR="00A70609">
        <w:rPr>
          <w:rFonts w:ascii="Times New Roman" w:hAnsi="Times New Roman" w:cs="Times New Roman"/>
          <w:sz w:val="24"/>
          <w:szCs w:val="24"/>
        </w:rPr>
        <w:t>.</w:t>
      </w:r>
      <w:r w:rsidR="00CA7FCB">
        <w:rPr>
          <w:rFonts w:ascii="Times New Roman" w:hAnsi="Times New Roman" w:cs="Times New Roman"/>
          <w:sz w:val="24"/>
          <w:szCs w:val="24"/>
        </w:rPr>
        <w:t xml:space="preserve"> </w:t>
      </w:r>
      <w:r w:rsidR="00A70609">
        <w:rPr>
          <w:rFonts w:ascii="Times New Roman" w:hAnsi="Times New Roman" w:cs="Times New Roman"/>
          <w:sz w:val="24"/>
          <w:szCs w:val="24"/>
        </w:rPr>
        <w:t>E</w:t>
      </w:r>
      <w:r w:rsidR="00CA7FCB">
        <w:rPr>
          <w:rFonts w:ascii="Times New Roman" w:hAnsi="Times New Roman" w:cs="Times New Roman"/>
          <w:sz w:val="24"/>
          <w:szCs w:val="24"/>
        </w:rPr>
        <w:t xml:space="preserve">m relação à sua titularidade, são primariamente valores </w:t>
      </w:r>
      <w:r w:rsidR="00CA7FCB" w:rsidRPr="00CA7FCB">
        <w:rPr>
          <w:rFonts w:ascii="Times New Roman" w:hAnsi="Times New Roman" w:cs="Times New Roman"/>
          <w:i/>
          <w:iCs/>
          <w:sz w:val="24"/>
          <w:szCs w:val="24"/>
        </w:rPr>
        <w:t>da</w:t>
      </w:r>
      <w:r w:rsidR="00CA7FCB">
        <w:rPr>
          <w:rFonts w:ascii="Times New Roman" w:hAnsi="Times New Roman" w:cs="Times New Roman"/>
          <w:sz w:val="24"/>
          <w:szCs w:val="24"/>
        </w:rPr>
        <w:t xml:space="preserve"> UE: determinou, através da sua adopção, que seria uma democracia constitucional</w:t>
      </w:r>
      <w:r w:rsidR="003B4FE8">
        <w:rPr>
          <w:rFonts w:ascii="Times New Roman" w:hAnsi="Times New Roman" w:cs="Times New Roman"/>
          <w:sz w:val="24"/>
          <w:szCs w:val="24"/>
        </w:rPr>
        <w:t xml:space="preserve"> fundada no respeito pela dignidade humana, direitos humanos e Estado de Direito</w:t>
      </w:r>
      <w:r w:rsidR="00E9056C">
        <w:rPr>
          <w:rStyle w:val="Refdenotaalpie"/>
          <w:rFonts w:ascii="Times New Roman" w:hAnsi="Times New Roman" w:cs="Times New Roman"/>
          <w:sz w:val="24"/>
          <w:szCs w:val="24"/>
        </w:rPr>
        <w:footnoteReference w:id="11"/>
      </w:r>
      <w:r w:rsidR="00A70609">
        <w:rPr>
          <w:rFonts w:ascii="Times New Roman" w:hAnsi="Times New Roman" w:cs="Times New Roman"/>
          <w:sz w:val="24"/>
          <w:szCs w:val="24"/>
        </w:rPr>
        <w:t xml:space="preserve">; mas são também valores </w:t>
      </w:r>
      <w:r w:rsidR="00A70609">
        <w:rPr>
          <w:rFonts w:ascii="Times New Roman" w:hAnsi="Times New Roman" w:cs="Times New Roman"/>
          <w:i/>
          <w:iCs/>
          <w:sz w:val="24"/>
          <w:szCs w:val="24"/>
        </w:rPr>
        <w:t>comuns</w:t>
      </w:r>
      <w:r w:rsidR="000C1B52">
        <w:rPr>
          <w:rStyle w:val="Refdenotaalpie"/>
          <w:rFonts w:ascii="Times New Roman" w:hAnsi="Times New Roman" w:cs="Times New Roman"/>
          <w:i/>
          <w:iCs/>
          <w:sz w:val="24"/>
          <w:szCs w:val="24"/>
        </w:rPr>
        <w:footnoteReference w:id="12"/>
      </w:r>
      <w:r w:rsidR="00A70609">
        <w:rPr>
          <w:rFonts w:ascii="Times New Roman" w:hAnsi="Times New Roman" w:cs="Times New Roman"/>
          <w:sz w:val="24"/>
          <w:szCs w:val="24"/>
        </w:rPr>
        <w:t xml:space="preserve">, que surgiram inicialmente nos vários EM (no decorrer da sua evolução histórica e cultural) e que expressam a preferência dos seus cidadãos. Estes valores foram depois “supranacionalizados”, adquirindo nesse processo uma natureza especificamente europeia que informa o núcleo verdadeiramente comum a todas as entidades (UE / EM). </w:t>
      </w:r>
    </w:p>
    <w:p w14:paraId="1FE3A18A" w14:textId="33841432" w:rsidR="00F46D11" w:rsidRDefault="00E620E1" w:rsidP="00F46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significado destes valores é tal que os próprios Tratados prevêem uma contínua verificação do respeito pelos mesmos por parte dos EM: o art. 7º TUE determina </w:t>
      </w:r>
      <w:r w:rsidR="001B7711">
        <w:rPr>
          <w:rFonts w:ascii="Times New Roman" w:hAnsi="Times New Roman" w:cs="Times New Roman"/>
          <w:sz w:val="24"/>
          <w:szCs w:val="24"/>
        </w:rPr>
        <w:t xml:space="preserve">que, após constatação de que existe um </w:t>
      </w:r>
      <w:r w:rsidR="001B7711" w:rsidRPr="001B7711">
        <w:rPr>
          <w:rFonts w:ascii="Times New Roman" w:hAnsi="Times New Roman" w:cs="Times New Roman"/>
          <w:i/>
          <w:iCs/>
          <w:sz w:val="24"/>
          <w:szCs w:val="24"/>
        </w:rPr>
        <w:t>risco</w:t>
      </w:r>
      <w:r w:rsidR="001B7711">
        <w:rPr>
          <w:rFonts w:ascii="Times New Roman" w:hAnsi="Times New Roman" w:cs="Times New Roman"/>
          <w:sz w:val="24"/>
          <w:szCs w:val="24"/>
        </w:rPr>
        <w:t xml:space="preserve"> (art. 7º, 1) manifesto de violação dos valores do art. 2º, o Conselho pode dirigir recomendações ao EM em causa, para que corrija a situação. Se esses valores forem efectivamente </w:t>
      </w:r>
      <w:r w:rsidR="001B7711">
        <w:rPr>
          <w:rFonts w:ascii="Times New Roman" w:hAnsi="Times New Roman" w:cs="Times New Roman"/>
          <w:i/>
          <w:iCs/>
          <w:sz w:val="24"/>
          <w:szCs w:val="24"/>
        </w:rPr>
        <w:t xml:space="preserve">violados </w:t>
      </w:r>
      <w:r w:rsidR="001B7711">
        <w:rPr>
          <w:rFonts w:ascii="Times New Roman" w:hAnsi="Times New Roman" w:cs="Times New Roman"/>
          <w:sz w:val="24"/>
          <w:szCs w:val="24"/>
        </w:rPr>
        <w:t xml:space="preserve">(art. 7º, 2/3), podem ser </w:t>
      </w:r>
      <w:r w:rsidR="001B7711">
        <w:rPr>
          <w:rFonts w:ascii="Times New Roman" w:hAnsi="Times New Roman" w:cs="Times New Roman"/>
          <w:sz w:val="24"/>
          <w:szCs w:val="24"/>
        </w:rPr>
        <w:lastRenderedPageBreak/>
        <w:t xml:space="preserve">suspensos direitos decorrentes dos Tratados, incluindo </w:t>
      </w:r>
      <w:r w:rsidR="00735CC4">
        <w:rPr>
          <w:rFonts w:ascii="Times New Roman" w:hAnsi="Times New Roman" w:cs="Times New Roman"/>
          <w:sz w:val="24"/>
          <w:szCs w:val="24"/>
        </w:rPr>
        <w:t xml:space="preserve">o </w:t>
      </w:r>
      <w:r w:rsidR="001B7711">
        <w:rPr>
          <w:rFonts w:ascii="Times New Roman" w:hAnsi="Times New Roman" w:cs="Times New Roman"/>
          <w:sz w:val="24"/>
          <w:szCs w:val="24"/>
        </w:rPr>
        <w:t xml:space="preserve">direito de voto </w:t>
      </w:r>
      <w:r w:rsidR="00735CC4">
        <w:rPr>
          <w:rFonts w:ascii="Times New Roman" w:hAnsi="Times New Roman" w:cs="Times New Roman"/>
          <w:sz w:val="24"/>
          <w:szCs w:val="24"/>
        </w:rPr>
        <w:t>(art. 354º do Tratado de Funcionamento da União Europeia – TFUE)</w:t>
      </w:r>
      <w:r w:rsidR="00D32F4A">
        <w:rPr>
          <w:rStyle w:val="Refdenotaalpie"/>
          <w:rFonts w:ascii="Times New Roman" w:hAnsi="Times New Roman" w:cs="Times New Roman"/>
          <w:sz w:val="24"/>
          <w:szCs w:val="24"/>
        </w:rPr>
        <w:footnoteReference w:id="13"/>
      </w:r>
      <w:r w:rsidR="00735CC4">
        <w:rPr>
          <w:rFonts w:ascii="Times New Roman" w:hAnsi="Times New Roman" w:cs="Times New Roman"/>
          <w:sz w:val="24"/>
          <w:szCs w:val="24"/>
        </w:rPr>
        <w:t xml:space="preserve">. </w:t>
      </w:r>
    </w:p>
    <w:p w14:paraId="6BB640B5" w14:textId="4A45ADD8" w:rsidR="00630DC1" w:rsidRDefault="00630DC1" w:rsidP="00F46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para além de uma certa relutância interna </w:t>
      </w:r>
      <w:r w:rsidR="007C33F9">
        <w:rPr>
          <w:rFonts w:ascii="Times New Roman" w:hAnsi="Times New Roman" w:cs="Times New Roman"/>
          <w:sz w:val="24"/>
          <w:szCs w:val="24"/>
        </w:rPr>
        <w:t xml:space="preserve">(europeia) </w:t>
      </w:r>
      <w:r>
        <w:rPr>
          <w:rFonts w:ascii="Times New Roman" w:hAnsi="Times New Roman" w:cs="Times New Roman"/>
          <w:sz w:val="24"/>
          <w:szCs w:val="24"/>
        </w:rPr>
        <w:t>em</w:t>
      </w:r>
      <w:r w:rsidR="007C33F9">
        <w:rPr>
          <w:rFonts w:ascii="Times New Roman" w:hAnsi="Times New Roman" w:cs="Times New Roman"/>
          <w:sz w:val="24"/>
          <w:szCs w:val="24"/>
        </w:rPr>
        <w:t xml:space="preserve"> proteger, de forma consequente, estes valores e assegurar o seu respeito</w:t>
      </w:r>
      <w:r w:rsidR="007C33F9">
        <w:rPr>
          <w:rStyle w:val="Refdenotaalpie"/>
          <w:rFonts w:ascii="Times New Roman" w:hAnsi="Times New Roman" w:cs="Times New Roman"/>
          <w:sz w:val="24"/>
          <w:szCs w:val="24"/>
        </w:rPr>
        <w:footnoteReference w:id="14"/>
      </w:r>
      <w:r w:rsidR="007C33F9">
        <w:rPr>
          <w:rFonts w:ascii="Times New Roman" w:hAnsi="Times New Roman" w:cs="Times New Roman"/>
          <w:sz w:val="24"/>
          <w:szCs w:val="24"/>
        </w:rPr>
        <w:t>, a UE enfrenta ainda um outro desafio:</w:t>
      </w:r>
      <w:r w:rsidR="008C21FE">
        <w:rPr>
          <w:rFonts w:ascii="Times New Roman" w:hAnsi="Times New Roman" w:cs="Times New Roman"/>
          <w:sz w:val="24"/>
          <w:szCs w:val="24"/>
        </w:rPr>
        <w:t xml:space="preserve"> dado que os EM retêm a sua soberania (ainda que partilhem partes dela com a UE), esta encontra-se</w:t>
      </w:r>
      <w:r w:rsidR="007C33F9">
        <w:rPr>
          <w:rFonts w:ascii="Times New Roman" w:hAnsi="Times New Roman" w:cs="Times New Roman"/>
          <w:sz w:val="24"/>
          <w:szCs w:val="24"/>
        </w:rPr>
        <w:t xml:space="preserve"> </w:t>
      </w:r>
      <w:r w:rsidR="008C21FE">
        <w:rPr>
          <w:rFonts w:ascii="Times New Roman" w:hAnsi="Times New Roman" w:cs="Times New Roman"/>
          <w:sz w:val="24"/>
          <w:szCs w:val="24"/>
        </w:rPr>
        <w:t xml:space="preserve">constitucionalmente obrigada a respeitar as suas identidades </w:t>
      </w:r>
      <w:r w:rsidR="00365D8D">
        <w:rPr>
          <w:rFonts w:ascii="Times New Roman" w:hAnsi="Times New Roman" w:cs="Times New Roman"/>
          <w:sz w:val="24"/>
          <w:szCs w:val="24"/>
        </w:rPr>
        <w:t>nacionais</w:t>
      </w:r>
      <w:r w:rsidR="008C21FE">
        <w:rPr>
          <w:rFonts w:ascii="Times New Roman" w:hAnsi="Times New Roman" w:cs="Times New Roman"/>
          <w:sz w:val="24"/>
          <w:szCs w:val="24"/>
        </w:rPr>
        <w:t xml:space="preserve"> (art. 4º, 2 TUE), o que pode sugerir que esse é, também, um limite </w:t>
      </w:r>
      <w:r w:rsidR="0055551E">
        <w:rPr>
          <w:rFonts w:ascii="Times New Roman" w:hAnsi="Times New Roman" w:cs="Times New Roman"/>
          <w:sz w:val="24"/>
          <w:szCs w:val="24"/>
        </w:rPr>
        <w:t xml:space="preserve">ao primado e à </w:t>
      </w:r>
      <w:r w:rsidR="008C21FE">
        <w:rPr>
          <w:rFonts w:ascii="Times New Roman" w:hAnsi="Times New Roman" w:cs="Times New Roman"/>
          <w:sz w:val="24"/>
          <w:szCs w:val="24"/>
        </w:rPr>
        <w:t>actuação da UE no âmbito das suas atribuiçõe</w:t>
      </w:r>
      <w:r w:rsidR="0055551E">
        <w:rPr>
          <w:rFonts w:ascii="Times New Roman" w:hAnsi="Times New Roman" w:cs="Times New Roman"/>
          <w:sz w:val="24"/>
          <w:szCs w:val="24"/>
        </w:rPr>
        <w:t>s</w:t>
      </w:r>
      <w:r w:rsidR="0055551E">
        <w:rPr>
          <w:rStyle w:val="Refdenotaalpie"/>
          <w:rFonts w:ascii="Times New Roman" w:hAnsi="Times New Roman" w:cs="Times New Roman"/>
          <w:sz w:val="24"/>
          <w:szCs w:val="24"/>
        </w:rPr>
        <w:footnoteReference w:id="15"/>
      </w:r>
      <w:r w:rsidR="0055551E">
        <w:rPr>
          <w:rFonts w:ascii="Times New Roman" w:hAnsi="Times New Roman" w:cs="Times New Roman"/>
          <w:sz w:val="24"/>
          <w:szCs w:val="24"/>
        </w:rPr>
        <w:t>.</w:t>
      </w:r>
      <w:r w:rsidR="004E62BD">
        <w:rPr>
          <w:rFonts w:ascii="Times New Roman" w:hAnsi="Times New Roman" w:cs="Times New Roman"/>
          <w:sz w:val="24"/>
          <w:szCs w:val="24"/>
        </w:rPr>
        <w:t xml:space="preserve"> </w:t>
      </w:r>
    </w:p>
    <w:p w14:paraId="04682EC0" w14:textId="0D221783" w:rsidR="00F81FD0" w:rsidRDefault="00F81FD0" w:rsidP="00F46D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Uma outra questão relacionada com este artigo é a de saber qual a consequência quando surge de facto um conflito desta natureza. As opiniões divergem</w:t>
      </w:r>
      <w:r>
        <w:rPr>
          <w:rStyle w:val="Refdenotaalpie"/>
          <w:rFonts w:ascii="Times New Roman" w:hAnsi="Times New Roman" w:cs="Times New Roman"/>
          <w:sz w:val="24"/>
          <w:szCs w:val="24"/>
        </w:rPr>
        <w:footnoteReference w:id="16"/>
      </w:r>
      <w:r>
        <w:rPr>
          <w:rFonts w:ascii="Times New Roman" w:hAnsi="Times New Roman" w:cs="Times New Roman"/>
          <w:sz w:val="24"/>
          <w:szCs w:val="24"/>
        </w:rPr>
        <w:t xml:space="preserve"> entre </w:t>
      </w:r>
      <w:r w:rsidR="00365D8D">
        <w:rPr>
          <w:rFonts w:ascii="Times New Roman" w:hAnsi="Times New Roman" w:cs="Times New Roman"/>
          <w:sz w:val="24"/>
          <w:szCs w:val="24"/>
        </w:rPr>
        <w:t xml:space="preserve">afirmar o seu carácter absoluto, no sentido de a EU dever ceder perante uma característica conflituante da identidade constitucional nacional; ou relativizar essa obrigação, estabelecendo que deve ser encetado um diálogo entre ambas as esferas, para que se possa promover e encontrar uma solução aceitável por ambas as partes envolvidas no conflito constitucional. </w:t>
      </w:r>
      <w:r w:rsidR="00967D46">
        <w:rPr>
          <w:rFonts w:ascii="Times New Roman" w:hAnsi="Times New Roman" w:cs="Times New Roman"/>
          <w:sz w:val="24"/>
          <w:szCs w:val="24"/>
        </w:rPr>
        <w:t>Tendo em conta o constitucionalismo europeu (</w:t>
      </w:r>
      <w:r w:rsidR="00967D46">
        <w:rPr>
          <w:rFonts w:ascii="Times New Roman" w:hAnsi="Times New Roman" w:cs="Times New Roman"/>
          <w:i/>
          <w:iCs/>
          <w:sz w:val="24"/>
          <w:szCs w:val="24"/>
        </w:rPr>
        <w:t>infra</w:t>
      </w:r>
      <w:r w:rsidR="00967D46">
        <w:rPr>
          <w:rFonts w:ascii="Times New Roman" w:hAnsi="Times New Roman" w:cs="Times New Roman"/>
          <w:sz w:val="24"/>
          <w:szCs w:val="24"/>
        </w:rPr>
        <w:t xml:space="preserve">), esta segunda opção mostra-se mais consentânea com os aspectos específicos da comunidade jurídica europeia, </w:t>
      </w:r>
      <w:r w:rsidR="001E4F37">
        <w:rPr>
          <w:rFonts w:ascii="Times New Roman" w:hAnsi="Times New Roman" w:cs="Times New Roman"/>
          <w:sz w:val="24"/>
          <w:szCs w:val="24"/>
        </w:rPr>
        <w:t>devendo rejeitar-se</w:t>
      </w:r>
      <w:r w:rsidR="00967D46">
        <w:rPr>
          <w:rFonts w:ascii="Times New Roman" w:hAnsi="Times New Roman" w:cs="Times New Roman"/>
          <w:sz w:val="24"/>
          <w:szCs w:val="24"/>
        </w:rPr>
        <w:t xml:space="preserve"> soluções que concedam supremacia absoluta, sem possível ponderação, a uma ou outra esfera. </w:t>
      </w:r>
    </w:p>
    <w:p w14:paraId="110F4AEF" w14:textId="6D36FF55" w:rsidR="00EC09FF" w:rsidRPr="00967D46" w:rsidRDefault="00944697" w:rsidP="009446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Finalmente, devem-se estabelecer</w:t>
      </w:r>
      <w:r w:rsidR="003A6899">
        <w:rPr>
          <w:rFonts w:ascii="Times New Roman" w:hAnsi="Times New Roman" w:cs="Times New Roman"/>
          <w:sz w:val="24"/>
          <w:szCs w:val="24"/>
        </w:rPr>
        <w:t xml:space="preserve"> os limites da identidade constitucional nacional. </w:t>
      </w:r>
      <w:r w:rsidR="001E4F37">
        <w:rPr>
          <w:rFonts w:ascii="Times New Roman" w:hAnsi="Times New Roman" w:cs="Times New Roman"/>
          <w:sz w:val="24"/>
          <w:szCs w:val="24"/>
        </w:rPr>
        <w:t>Haverá</w:t>
      </w:r>
      <w:r w:rsidR="003A6899">
        <w:rPr>
          <w:rFonts w:ascii="Times New Roman" w:hAnsi="Times New Roman" w:cs="Times New Roman"/>
          <w:sz w:val="24"/>
          <w:szCs w:val="24"/>
        </w:rPr>
        <w:t xml:space="preserve"> primeiramente que ter em conta que essa identidade também não deve violar aspectos essenciais da identidade constitucional europeia; em segundo lugar, deve</w:t>
      </w:r>
      <w:r w:rsidR="001E4F37">
        <w:rPr>
          <w:rFonts w:ascii="Times New Roman" w:hAnsi="Times New Roman" w:cs="Times New Roman"/>
          <w:sz w:val="24"/>
          <w:szCs w:val="24"/>
        </w:rPr>
        <w:t xml:space="preserve"> aquela </w:t>
      </w:r>
      <w:r w:rsidR="003A6899">
        <w:rPr>
          <w:rFonts w:ascii="Times New Roman" w:hAnsi="Times New Roman" w:cs="Times New Roman"/>
          <w:sz w:val="24"/>
          <w:szCs w:val="24"/>
        </w:rPr>
        <w:t>ser objecto de uma interpretação actualist</w:t>
      </w:r>
      <w:r w:rsidR="001E4F37">
        <w:rPr>
          <w:rFonts w:ascii="Times New Roman" w:hAnsi="Times New Roman" w:cs="Times New Roman"/>
          <w:sz w:val="24"/>
          <w:szCs w:val="24"/>
        </w:rPr>
        <w:t>a</w:t>
      </w:r>
      <w:r w:rsidR="003A6899">
        <w:rPr>
          <w:rFonts w:ascii="Times New Roman" w:hAnsi="Times New Roman" w:cs="Times New Roman"/>
          <w:sz w:val="24"/>
          <w:szCs w:val="24"/>
        </w:rPr>
        <w:t xml:space="preserve">, incluindo qualquer </w:t>
      </w:r>
      <w:r w:rsidR="005D345F">
        <w:rPr>
          <w:rFonts w:ascii="Times New Roman" w:hAnsi="Times New Roman" w:cs="Times New Roman"/>
          <w:sz w:val="24"/>
          <w:szCs w:val="24"/>
        </w:rPr>
        <w:t xml:space="preserve">posterior </w:t>
      </w:r>
      <w:r w:rsidR="003A6899">
        <w:rPr>
          <w:rFonts w:ascii="Times New Roman" w:hAnsi="Times New Roman" w:cs="Times New Roman"/>
          <w:sz w:val="24"/>
          <w:szCs w:val="24"/>
        </w:rPr>
        <w:t xml:space="preserve">interpretação que lhe possa </w:t>
      </w:r>
      <w:r w:rsidR="008D5684">
        <w:rPr>
          <w:rFonts w:ascii="Times New Roman" w:hAnsi="Times New Roman" w:cs="Times New Roman"/>
          <w:sz w:val="24"/>
          <w:szCs w:val="24"/>
        </w:rPr>
        <w:t xml:space="preserve">legitimamente </w:t>
      </w:r>
      <w:r w:rsidR="003A6899">
        <w:rPr>
          <w:rFonts w:ascii="Times New Roman" w:hAnsi="Times New Roman" w:cs="Times New Roman"/>
          <w:sz w:val="24"/>
          <w:szCs w:val="24"/>
        </w:rPr>
        <w:t>ser conferida</w:t>
      </w:r>
      <w:r w:rsidR="005D345F">
        <w:rPr>
          <w:rStyle w:val="Refdenotaalpie"/>
          <w:rFonts w:ascii="Times New Roman" w:hAnsi="Times New Roman" w:cs="Times New Roman"/>
          <w:sz w:val="24"/>
          <w:szCs w:val="24"/>
        </w:rPr>
        <w:footnoteReference w:id="17"/>
      </w:r>
      <w:r>
        <w:rPr>
          <w:rFonts w:ascii="Times New Roman" w:hAnsi="Times New Roman" w:cs="Times New Roman"/>
          <w:sz w:val="24"/>
          <w:szCs w:val="24"/>
        </w:rPr>
        <w:t>,</w:t>
      </w:r>
      <w:r w:rsidR="008D5684">
        <w:rPr>
          <w:rFonts w:ascii="Times New Roman" w:hAnsi="Times New Roman" w:cs="Times New Roman"/>
          <w:sz w:val="24"/>
          <w:szCs w:val="24"/>
        </w:rPr>
        <w:t xml:space="preserve"> </w:t>
      </w:r>
      <w:r>
        <w:rPr>
          <w:rFonts w:ascii="Times New Roman" w:hAnsi="Times New Roman" w:cs="Times New Roman"/>
          <w:sz w:val="24"/>
          <w:szCs w:val="24"/>
        </w:rPr>
        <w:t>incluindo a que</w:t>
      </w:r>
      <w:r w:rsidR="008D5684">
        <w:rPr>
          <w:rFonts w:ascii="Times New Roman" w:hAnsi="Times New Roman" w:cs="Times New Roman"/>
          <w:sz w:val="24"/>
          <w:szCs w:val="24"/>
        </w:rPr>
        <w:t xml:space="preserve"> resultar da interacção com a UE, pelo que o limite que a identidade constitucional europeia representa não é atingido simplesmente pela </w:t>
      </w:r>
      <w:r w:rsidR="00CC71D4">
        <w:rPr>
          <w:rFonts w:ascii="Times New Roman" w:hAnsi="Times New Roman" w:cs="Times New Roman"/>
          <w:sz w:val="24"/>
          <w:szCs w:val="24"/>
        </w:rPr>
        <w:t>alteração superveniente da Constituição de um Estado, mas apenas quando essa alteração é mais extrema</w:t>
      </w:r>
      <w:r w:rsidR="00B964ED">
        <w:rPr>
          <w:rFonts w:ascii="Times New Roman" w:hAnsi="Times New Roman" w:cs="Times New Roman"/>
          <w:sz w:val="24"/>
          <w:szCs w:val="24"/>
        </w:rPr>
        <w:t>, colocando-a de forma inconciliável em oposição aos aspectos fundamentais da Constituição europeia</w:t>
      </w:r>
      <w:r w:rsidR="00B964ED">
        <w:rPr>
          <w:rStyle w:val="Refdenotaalpie"/>
          <w:rFonts w:ascii="Times New Roman" w:hAnsi="Times New Roman" w:cs="Times New Roman"/>
          <w:sz w:val="24"/>
          <w:szCs w:val="24"/>
        </w:rPr>
        <w:footnoteReference w:id="18"/>
      </w:r>
      <w:r w:rsidR="00CC71D4">
        <w:rPr>
          <w:rFonts w:ascii="Times New Roman" w:hAnsi="Times New Roman" w:cs="Times New Roman"/>
          <w:sz w:val="24"/>
          <w:szCs w:val="24"/>
        </w:rPr>
        <w:t xml:space="preserve">. </w:t>
      </w:r>
    </w:p>
    <w:p w14:paraId="77AE1873" w14:textId="77777777" w:rsidR="00F46D11" w:rsidRPr="00A70609" w:rsidRDefault="00F46D11" w:rsidP="00F46D11">
      <w:pPr>
        <w:spacing w:after="0" w:line="240" w:lineRule="auto"/>
        <w:ind w:firstLine="708"/>
        <w:jc w:val="both"/>
        <w:rPr>
          <w:rFonts w:ascii="Times New Roman" w:hAnsi="Times New Roman" w:cs="Times New Roman"/>
          <w:sz w:val="24"/>
          <w:szCs w:val="24"/>
        </w:rPr>
      </w:pPr>
    </w:p>
    <w:p w14:paraId="7DD41256" w14:textId="695BDF33" w:rsidR="00BA0FD1" w:rsidRDefault="000D6DC9" w:rsidP="00883416">
      <w:pPr>
        <w:pStyle w:val="Prrafodelista"/>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Constitucionalismo europeu: particularidades</w:t>
      </w:r>
    </w:p>
    <w:p w14:paraId="701BBEB9" w14:textId="41D50D96" w:rsidR="000D6DC9" w:rsidRDefault="00AA26A6" w:rsidP="00AA26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Alguns aspectos anteriormente expostos deixam antever a caracterização do constitucionalismo europeu não como hierarquia normativa, mas antes como uma </w:t>
      </w:r>
      <w:r w:rsidRPr="00AA26A6">
        <w:rPr>
          <w:rFonts w:ascii="Times New Roman" w:hAnsi="Times New Roman" w:cs="Times New Roman"/>
          <w:i/>
          <w:iCs/>
          <w:sz w:val="24"/>
          <w:szCs w:val="24"/>
        </w:rPr>
        <w:t>rede</w:t>
      </w:r>
      <w:r>
        <w:rPr>
          <w:rFonts w:ascii="Times New Roman" w:hAnsi="Times New Roman" w:cs="Times New Roman"/>
          <w:sz w:val="24"/>
          <w:szCs w:val="24"/>
        </w:rPr>
        <w:t xml:space="preserve"> constitucional</w:t>
      </w:r>
      <w:r w:rsidR="00AB638A">
        <w:rPr>
          <w:rFonts w:ascii="Times New Roman" w:hAnsi="Times New Roman" w:cs="Times New Roman"/>
          <w:sz w:val="24"/>
          <w:szCs w:val="24"/>
        </w:rPr>
        <w:t>,</w:t>
      </w:r>
      <w:r>
        <w:rPr>
          <w:rFonts w:ascii="Times New Roman" w:hAnsi="Times New Roman" w:cs="Times New Roman"/>
          <w:sz w:val="24"/>
          <w:szCs w:val="24"/>
        </w:rPr>
        <w:t xml:space="preserve"> na qual </w:t>
      </w:r>
      <w:r w:rsidR="00AB638A">
        <w:rPr>
          <w:rFonts w:ascii="Times New Roman" w:hAnsi="Times New Roman" w:cs="Times New Roman"/>
          <w:sz w:val="24"/>
          <w:szCs w:val="24"/>
        </w:rPr>
        <w:t xml:space="preserve">as Constituições se encontram em posição igualitária. Daí que uma absoluta atribuição de supremacia não seja possível, pelo que algumas concessões deverão feitas por todos os envolvidos. </w:t>
      </w:r>
      <w:r w:rsidR="00B75083">
        <w:rPr>
          <w:rFonts w:ascii="Times New Roman" w:hAnsi="Times New Roman" w:cs="Times New Roman"/>
          <w:sz w:val="24"/>
          <w:szCs w:val="24"/>
        </w:rPr>
        <w:t xml:space="preserve">No caso europeu, </w:t>
      </w:r>
      <w:r w:rsidR="00C64B9E">
        <w:rPr>
          <w:rFonts w:ascii="Times New Roman" w:hAnsi="Times New Roman" w:cs="Times New Roman"/>
          <w:sz w:val="24"/>
          <w:szCs w:val="24"/>
        </w:rPr>
        <w:t>a</w:t>
      </w:r>
      <w:r w:rsidR="00B75083">
        <w:rPr>
          <w:rFonts w:ascii="Times New Roman" w:hAnsi="Times New Roman" w:cs="Times New Roman"/>
          <w:sz w:val="24"/>
          <w:szCs w:val="24"/>
        </w:rPr>
        <w:t xml:space="preserve"> articulação </w:t>
      </w:r>
      <w:r w:rsidR="00C64B9E">
        <w:rPr>
          <w:rFonts w:ascii="Times New Roman" w:hAnsi="Times New Roman" w:cs="Times New Roman"/>
          <w:sz w:val="24"/>
          <w:szCs w:val="24"/>
        </w:rPr>
        <w:t xml:space="preserve">que existe </w:t>
      </w:r>
      <w:r w:rsidR="00B75083">
        <w:rPr>
          <w:rFonts w:ascii="Times New Roman" w:hAnsi="Times New Roman" w:cs="Times New Roman"/>
          <w:sz w:val="24"/>
          <w:szCs w:val="24"/>
        </w:rPr>
        <w:t xml:space="preserve">ainda </w:t>
      </w:r>
      <w:r w:rsidR="00C64B9E">
        <w:rPr>
          <w:rFonts w:ascii="Times New Roman" w:hAnsi="Times New Roman" w:cs="Times New Roman"/>
          <w:sz w:val="24"/>
          <w:szCs w:val="24"/>
        </w:rPr>
        <w:t>com outros instrumentos</w:t>
      </w:r>
      <w:r w:rsidR="00C64B9E">
        <w:rPr>
          <w:rStyle w:val="Refdenotaalpie"/>
          <w:rFonts w:ascii="Times New Roman" w:hAnsi="Times New Roman" w:cs="Times New Roman"/>
          <w:sz w:val="24"/>
          <w:szCs w:val="24"/>
        </w:rPr>
        <w:footnoteReference w:id="19"/>
      </w:r>
      <w:r w:rsidR="00C64B9E">
        <w:rPr>
          <w:rFonts w:ascii="Times New Roman" w:hAnsi="Times New Roman" w:cs="Times New Roman"/>
          <w:sz w:val="24"/>
          <w:szCs w:val="24"/>
        </w:rPr>
        <w:t xml:space="preserve">, que exercem influência sobre a Constituição europeia e as </w:t>
      </w:r>
      <w:r w:rsidR="00C64B9E">
        <w:rPr>
          <w:rFonts w:ascii="Times New Roman" w:hAnsi="Times New Roman" w:cs="Times New Roman"/>
          <w:sz w:val="24"/>
          <w:szCs w:val="24"/>
        </w:rPr>
        <w:lastRenderedPageBreak/>
        <w:t>Constituições nacionais, permitiu o surgimento de um sistema baseado na confiança mútua condicionada</w:t>
      </w:r>
      <w:r w:rsidR="008647A1">
        <w:rPr>
          <w:rStyle w:val="Refdenotaalpie"/>
          <w:rFonts w:ascii="Times New Roman" w:hAnsi="Times New Roman" w:cs="Times New Roman"/>
          <w:sz w:val="24"/>
          <w:szCs w:val="24"/>
        </w:rPr>
        <w:footnoteReference w:id="20"/>
      </w:r>
      <w:r w:rsidR="008647A1">
        <w:rPr>
          <w:rFonts w:ascii="Times New Roman" w:hAnsi="Times New Roman" w:cs="Times New Roman"/>
          <w:sz w:val="24"/>
          <w:szCs w:val="24"/>
        </w:rPr>
        <w:t xml:space="preserve"> entre as entidades que compõem essa rede.</w:t>
      </w:r>
    </w:p>
    <w:p w14:paraId="06BC2A1C" w14:textId="27DE9FD5" w:rsidR="00EF0231" w:rsidRDefault="00EF0231" w:rsidP="00AA26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interconstitucionalidade</w:t>
      </w:r>
      <w:r w:rsidR="00C22AF3">
        <w:rPr>
          <w:rStyle w:val="Refdenotaalpie"/>
          <w:rFonts w:ascii="Times New Roman" w:hAnsi="Times New Roman" w:cs="Times New Roman"/>
          <w:sz w:val="24"/>
          <w:szCs w:val="24"/>
        </w:rPr>
        <w:footnoteReference w:id="21"/>
      </w:r>
      <w:r>
        <w:rPr>
          <w:rFonts w:ascii="Times New Roman" w:hAnsi="Times New Roman" w:cs="Times New Roman"/>
          <w:sz w:val="24"/>
          <w:szCs w:val="24"/>
        </w:rPr>
        <w:t xml:space="preserve"> pretende, assim,</w:t>
      </w:r>
      <w:r w:rsidR="00D13969">
        <w:rPr>
          <w:rFonts w:ascii="Times New Roman" w:hAnsi="Times New Roman" w:cs="Times New Roman"/>
          <w:sz w:val="24"/>
          <w:szCs w:val="24"/>
        </w:rPr>
        <w:t xml:space="preserve"> articular a relação entre a pluralidade de ordenamentos jurídicos que compõem a rede constitucional. Independentemente da teoria que seja utilizada</w:t>
      </w:r>
      <w:r w:rsidR="00D13969">
        <w:rPr>
          <w:rStyle w:val="Refdenotaalpie"/>
          <w:rFonts w:ascii="Times New Roman" w:hAnsi="Times New Roman" w:cs="Times New Roman"/>
          <w:sz w:val="24"/>
          <w:szCs w:val="24"/>
        </w:rPr>
        <w:footnoteReference w:id="22"/>
      </w:r>
      <w:r w:rsidR="004E58E1">
        <w:rPr>
          <w:rFonts w:ascii="Times New Roman" w:hAnsi="Times New Roman" w:cs="Times New Roman"/>
          <w:sz w:val="24"/>
          <w:szCs w:val="24"/>
        </w:rPr>
        <w:t xml:space="preserve"> para descrever o pluralismo constitucional europeu</w:t>
      </w:r>
      <w:r w:rsidR="004E58E1">
        <w:rPr>
          <w:rStyle w:val="Refdenotaalpie"/>
          <w:rFonts w:ascii="Times New Roman" w:hAnsi="Times New Roman" w:cs="Times New Roman"/>
          <w:sz w:val="24"/>
          <w:szCs w:val="24"/>
        </w:rPr>
        <w:footnoteReference w:id="23"/>
      </w:r>
      <w:r w:rsidR="00C2051B">
        <w:rPr>
          <w:rFonts w:ascii="Times New Roman" w:hAnsi="Times New Roman" w:cs="Times New Roman"/>
          <w:sz w:val="24"/>
          <w:szCs w:val="24"/>
        </w:rPr>
        <w:t xml:space="preserve">, a ideia fulcral é precisamente a descrição do constitucionalismo europeu como um local de encontro de múltiplas visões e valores constitucionais que serão eventualmente decantados em aspectos comuns e formando, no processo, a Constituição material europeia que irá, de novo e por seu turno, influenciar as Constituições nacionais. </w:t>
      </w:r>
    </w:p>
    <w:p w14:paraId="03B83BCC" w14:textId="476C265D" w:rsidR="00D276E6" w:rsidRDefault="00D276E6" w:rsidP="00AA26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Este processo depende, assim, do respeito mútuo entre as diferentes esferas envolvidas e preclude, como se entende, a atribuição de autoridade última a apenas uma dela: a solução para eventuais conflitos deve ser encontrada através do diálogo constitucional encetado entre si, na busca do ponto de vista que melhor se adeqúe ao caso em questão (e não em busca da lei que terá prioridade de aplicação)</w:t>
      </w:r>
      <w:r w:rsidR="007E0E61">
        <w:rPr>
          <w:rStyle w:val="Refdenotaalpie"/>
          <w:rFonts w:ascii="Times New Roman" w:hAnsi="Times New Roman" w:cs="Times New Roman"/>
          <w:sz w:val="24"/>
          <w:szCs w:val="24"/>
        </w:rPr>
        <w:footnoteReference w:id="24"/>
      </w:r>
      <w:r>
        <w:rPr>
          <w:rFonts w:ascii="Times New Roman" w:hAnsi="Times New Roman" w:cs="Times New Roman"/>
          <w:sz w:val="24"/>
          <w:szCs w:val="24"/>
        </w:rPr>
        <w:t xml:space="preserve">. </w:t>
      </w:r>
      <w:r w:rsidR="009D7369">
        <w:rPr>
          <w:rFonts w:ascii="Times New Roman" w:hAnsi="Times New Roman" w:cs="Times New Roman"/>
          <w:sz w:val="24"/>
          <w:szCs w:val="24"/>
        </w:rPr>
        <w:t>A relação estabelecida entre as diversas ordens constitucionais é, assim, uma relação heterárquica, demonstrando a nova abordagem da UE à integração: o que se pretende é não tanto a eliminação da diferença, mas sim a organização da diferença</w:t>
      </w:r>
      <w:r w:rsidR="009D7369">
        <w:rPr>
          <w:rStyle w:val="Refdenotaalpie"/>
          <w:rFonts w:ascii="Times New Roman" w:hAnsi="Times New Roman" w:cs="Times New Roman"/>
          <w:sz w:val="24"/>
          <w:szCs w:val="24"/>
        </w:rPr>
        <w:footnoteReference w:id="25"/>
      </w:r>
      <w:r w:rsidR="00CD47B7">
        <w:rPr>
          <w:rFonts w:ascii="Times New Roman" w:hAnsi="Times New Roman" w:cs="Times New Roman"/>
          <w:sz w:val="24"/>
          <w:szCs w:val="24"/>
        </w:rPr>
        <w:t>, num reconhecimento implícito de que cada ordem constitucional participa na formação das regras e valores comuns a tod</w:t>
      </w:r>
      <w:r w:rsidR="00774798">
        <w:rPr>
          <w:rFonts w:ascii="Times New Roman" w:hAnsi="Times New Roman" w:cs="Times New Roman"/>
          <w:sz w:val="24"/>
          <w:szCs w:val="24"/>
        </w:rPr>
        <w:t>o</w:t>
      </w:r>
      <w:r w:rsidR="00CD47B7">
        <w:rPr>
          <w:rFonts w:ascii="Times New Roman" w:hAnsi="Times New Roman" w:cs="Times New Roman"/>
          <w:sz w:val="24"/>
          <w:szCs w:val="24"/>
        </w:rPr>
        <w:t>s</w:t>
      </w:r>
      <w:r w:rsidR="009D7369">
        <w:rPr>
          <w:rFonts w:ascii="Times New Roman" w:hAnsi="Times New Roman" w:cs="Times New Roman"/>
          <w:sz w:val="24"/>
          <w:szCs w:val="24"/>
        </w:rPr>
        <w:t xml:space="preserve">. </w:t>
      </w:r>
      <w:r w:rsidR="00750F88">
        <w:rPr>
          <w:rFonts w:ascii="Times New Roman" w:hAnsi="Times New Roman" w:cs="Times New Roman"/>
          <w:sz w:val="24"/>
          <w:szCs w:val="24"/>
        </w:rPr>
        <w:t xml:space="preserve">Adicionalmente, </w:t>
      </w:r>
      <w:r w:rsidR="00774798">
        <w:rPr>
          <w:rFonts w:ascii="Times New Roman" w:hAnsi="Times New Roman" w:cs="Times New Roman"/>
          <w:sz w:val="24"/>
          <w:szCs w:val="24"/>
        </w:rPr>
        <w:t>o</w:t>
      </w:r>
      <w:r w:rsidR="00750F88">
        <w:rPr>
          <w:rFonts w:ascii="Times New Roman" w:hAnsi="Times New Roman" w:cs="Times New Roman"/>
          <w:sz w:val="24"/>
          <w:szCs w:val="24"/>
        </w:rPr>
        <w:t xml:space="preserve"> respeito pela pluralidade </w:t>
      </w:r>
      <w:r w:rsidR="00845EDF">
        <w:rPr>
          <w:rFonts w:ascii="Times New Roman" w:hAnsi="Times New Roman" w:cs="Times New Roman"/>
          <w:sz w:val="24"/>
          <w:szCs w:val="24"/>
        </w:rPr>
        <w:t xml:space="preserve">tem um efeito legitimador da acção europeia, dado que o exercício de poder por parte da UE será percebido como </w:t>
      </w:r>
      <w:r w:rsidR="00845EDF" w:rsidRPr="00845EDF">
        <w:rPr>
          <w:rFonts w:ascii="Times New Roman" w:hAnsi="Times New Roman" w:cs="Times New Roman"/>
          <w:i/>
          <w:iCs/>
          <w:sz w:val="24"/>
          <w:szCs w:val="24"/>
        </w:rPr>
        <w:t>justo</w:t>
      </w:r>
      <w:r w:rsidR="00845EDF">
        <w:rPr>
          <w:rFonts w:ascii="Times New Roman" w:hAnsi="Times New Roman" w:cs="Times New Roman"/>
          <w:sz w:val="24"/>
          <w:szCs w:val="24"/>
        </w:rPr>
        <w:t>, o que poderia ser difícil de atingir se as identidades nacionais fossem simplesmente ignoradas</w:t>
      </w:r>
      <w:r w:rsidR="00845EDF">
        <w:rPr>
          <w:rStyle w:val="Refdenotaalpie"/>
          <w:rFonts w:ascii="Times New Roman" w:hAnsi="Times New Roman" w:cs="Times New Roman"/>
          <w:sz w:val="24"/>
          <w:szCs w:val="24"/>
        </w:rPr>
        <w:footnoteReference w:id="26"/>
      </w:r>
      <w:r w:rsidR="00845EDF">
        <w:rPr>
          <w:rFonts w:ascii="Times New Roman" w:hAnsi="Times New Roman" w:cs="Times New Roman"/>
          <w:sz w:val="24"/>
          <w:szCs w:val="24"/>
        </w:rPr>
        <w:t xml:space="preserve">. </w:t>
      </w:r>
    </w:p>
    <w:p w14:paraId="40F58DF3" w14:textId="03D385C5" w:rsidR="00845EDF" w:rsidRDefault="00845EDF" w:rsidP="00AA26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Mais do que a absoluta supremacia de uma ordem constitucional em relação a outra(s), o que se mostra decisivo para a integração europeia é a definição clara de quais os valores que o pluralismo constitucional europeu se propõe a proteger. As concessões, que existem para permitir uma melhor </w:t>
      </w:r>
      <w:r w:rsidR="0045662D">
        <w:rPr>
          <w:rFonts w:ascii="Times New Roman" w:hAnsi="Times New Roman" w:cs="Times New Roman"/>
          <w:sz w:val="24"/>
          <w:szCs w:val="24"/>
        </w:rPr>
        <w:t xml:space="preserve">coexistência entre ambos os níveis do </w:t>
      </w:r>
      <w:r w:rsidR="0045662D">
        <w:rPr>
          <w:rFonts w:ascii="Times New Roman" w:hAnsi="Times New Roman" w:cs="Times New Roman"/>
          <w:sz w:val="24"/>
          <w:szCs w:val="24"/>
        </w:rPr>
        <w:lastRenderedPageBreak/>
        <w:t xml:space="preserve">constitucionalismo, nunca poderão, por isso, </w:t>
      </w:r>
      <w:r w:rsidR="00774798">
        <w:rPr>
          <w:rFonts w:ascii="Times New Roman" w:hAnsi="Times New Roman" w:cs="Times New Roman"/>
          <w:sz w:val="24"/>
          <w:szCs w:val="24"/>
        </w:rPr>
        <w:t>chegar</w:t>
      </w:r>
      <w:r w:rsidR="0045662D">
        <w:rPr>
          <w:rFonts w:ascii="Times New Roman" w:hAnsi="Times New Roman" w:cs="Times New Roman"/>
          <w:sz w:val="24"/>
          <w:szCs w:val="24"/>
        </w:rPr>
        <w:t xml:space="preserve"> ao pont</w:t>
      </w:r>
      <w:r w:rsidR="009722AE">
        <w:rPr>
          <w:rFonts w:ascii="Times New Roman" w:hAnsi="Times New Roman" w:cs="Times New Roman"/>
          <w:sz w:val="24"/>
          <w:szCs w:val="24"/>
        </w:rPr>
        <w:t>o</w:t>
      </w:r>
      <w:r w:rsidR="0045662D">
        <w:rPr>
          <w:rFonts w:ascii="Times New Roman" w:hAnsi="Times New Roman" w:cs="Times New Roman"/>
          <w:sz w:val="24"/>
          <w:szCs w:val="24"/>
        </w:rPr>
        <w:t xml:space="preserve"> de permitir uma disrupção d</w:t>
      </w:r>
      <w:r w:rsidR="00944697">
        <w:rPr>
          <w:rFonts w:ascii="Times New Roman" w:hAnsi="Times New Roman" w:cs="Times New Roman"/>
          <w:sz w:val="24"/>
          <w:szCs w:val="24"/>
        </w:rPr>
        <w:t>a</w:t>
      </w:r>
      <w:r w:rsidR="0045662D">
        <w:rPr>
          <w:rFonts w:ascii="Times New Roman" w:hAnsi="Times New Roman" w:cs="Times New Roman"/>
          <w:sz w:val="24"/>
          <w:szCs w:val="24"/>
        </w:rPr>
        <w:t xml:space="preserve"> base</w:t>
      </w:r>
      <w:r w:rsidR="00774798" w:rsidRPr="00774798">
        <w:rPr>
          <w:rFonts w:ascii="Times New Roman" w:hAnsi="Times New Roman" w:cs="Times New Roman"/>
          <w:sz w:val="24"/>
          <w:szCs w:val="24"/>
        </w:rPr>
        <w:t xml:space="preserve"> </w:t>
      </w:r>
      <w:r w:rsidR="00774798">
        <w:rPr>
          <w:rFonts w:ascii="Times New Roman" w:hAnsi="Times New Roman" w:cs="Times New Roman"/>
          <w:sz w:val="24"/>
          <w:szCs w:val="24"/>
        </w:rPr>
        <w:t>axiológica</w:t>
      </w:r>
      <w:r w:rsidR="0045662D">
        <w:rPr>
          <w:rFonts w:ascii="Times New Roman" w:hAnsi="Times New Roman" w:cs="Times New Roman"/>
          <w:sz w:val="24"/>
          <w:szCs w:val="24"/>
        </w:rPr>
        <w:t xml:space="preserve"> de entendimento comum em que se baseia a confiança existente entre os EM e UE. </w:t>
      </w:r>
      <w:r w:rsidR="009722AE">
        <w:rPr>
          <w:rFonts w:ascii="Times New Roman" w:hAnsi="Times New Roman" w:cs="Times New Roman"/>
          <w:sz w:val="24"/>
          <w:szCs w:val="24"/>
        </w:rPr>
        <w:t>Em caso de conflito inultrapassável através do diálogo constitucional</w:t>
      </w:r>
      <w:r w:rsidR="009722AE">
        <w:rPr>
          <w:rStyle w:val="Refdenotaalpie"/>
          <w:rFonts w:ascii="Times New Roman" w:hAnsi="Times New Roman" w:cs="Times New Roman"/>
          <w:sz w:val="24"/>
          <w:szCs w:val="24"/>
        </w:rPr>
        <w:footnoteReference w:id="27"/>
      </w:r>
      <w:r w:rsidR="009722AE">
        <w:rPr>
          <w:rFonts w:ascii="Times New Roman" w:hAnsi="Times New Roman" w:cs="Times New Roman"/>
          <w:sz w:val="24"/>
          <w:szCs w:val="24"/>
        </w:rPr>
        <w:t>, a última palavra deverá</w:t>
      </w:r>
      <w:r w:rsidR="00944697">
        <w:rPr>
          <w:rFonts w:ascii="Times New Roman" w:hAnsi="Times New Roman" w:cs="Times New Roman"/>
          <w:sz w:val="24"/>
          <w:szCs w:val="24"/>
        </w:rPr>
        <w:t>, no entanto,</w:t>
      </w:r>
      <w:r w:rsidR="009722AE">
        <w:rPr>
          <w:rFonts w:ascii="Times New Roman" w:hAnsi="Times New Roman" w:cs="Times New Roman"/>
          <w:sz w:val="24"/>
          <w:szCs w:val="24"/>
        </w:rPr>
        <w:t xml:space="preserve"> ser concedida à UE</w:t>
      </w:r>
      <w:r w:rsidR="00BC28EF">
        <w:rPr>
          <w:rFonts w:ascii="Times New Roman" w:hAnsi="Times New Roman" w:cs="Times New Roman"/>
          <w:sz w:val="24"/>
          <w:szCs w:val="24"/>
        </w:rPr>
        <w:t xml:space="preserve">, </w:t>
      </w:r>
      <w:r w:rsidR="009722AE">
        <w:rPr>
          <w:rFonts w:ascii="Times New Roman" w:hAnsi="Times New Roman" w:cs="Times New Roman"/>
          <w:sz w:val="24"/>
          <w:szCs w:val="24"/>
        </w:rPr>
        <w:t xml:space="preserve">sempre que em causa se encontrem valores fundamentais da sua identidade constitucional – não por causa de </w:t>
      </w:r>
      <w:r w:rsidR="00876F33">
        <w:rPr>
          <w:rFonts w:ascii="Times New Roman" w:hAnsi="Times New Roman" w:cs="Times New Roman"/>
          <w:sz w:val="24"/>
          <w:szCs w:val="24"/>
        </w:rPr>
        <w:t xml:space="preserve">um qualquer princípio de hierarquia ou primado, mas sim porque a UE, ao defender a sua identidade constitucional, se encontra simultaneamente a defender aquilo que constitui o núcleo comum das identidades constitucionais dos restantes EM que integram essa comunidade de Direito. </w:t>
      </w:r>
    </w:p>
    <w:p w14:paraId="5DC687D0" w14:textId="77777777" w:rsidR="0078479E" w:rsidRDefault="0078479E" w:rsidP="0078479E">
      <w:pPr>
        <w:spacing w:after="0" w:line="240" w:lineRule="auto"/>
        <w:jc w:val="both"/>
        <w:rPr>
          <w:rFonts w:ascii="Times New Roman" w:hAnsi="Times New Roman" w:cs="Times New Roman"/>
          <w:sz w:val="24"/>
          <w:szCs w:val="24"/>
        </w:rPr>
      </w:pPr>
    </w:p>
    <w:p w14:paraId="6E493240" w14:textId="50CD035B" w:rsidR="0078479E" w:rsidRDefault="00DD7D4F" w:rsidP="00883416">
      <w:pPr>
        <w:pStyle w:val="Prrafodelista"/>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Confiança, Estado de Direito e identidade constitucional na Área de Liberdade, Segurança e Justiça </w:t>
      </w:r>
    </w:p>
    <w:p w14:paraId="434D77BE" w14:textId="62318196" w:rsidR="005C222E" w:rsidRDefault="00DD7D4F" w:rsidP="00D15C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interacção entre os vários ordenamentos jurídicos</w:t>
      </w:r>
      <w:r w:rsidR="00774798">
        <w:rPr>
          <w:rFonts w:ascii="Times New Roman" w:hAnsi="Times New Roman" w:cs="Times New Roman"/>
          <w:sz w:val="24"/>
          <w:szCs w:val="24"/>
        </w:rPr>
        <w:t xml:space="preserve"> nesses moldes </w:t>
      </w:r>
      <w:r>
        <w:rPr>
          <w:rFonts w:ascii="Times New Roman" w:hAnsi="Times New Roman" w:cs="Times New Roman"/>
          <w:sz w:val="24"/>
          <w:szCs w:val="24"/>
        </w:rPr>
        <w:t>pressupõe, como condição fundamental, a confiança que se estabelece entre os vários intervenientes. Essa confiança, derivada da semelhança de valores e cultura, do respeito mútuo e respeito pelo Estado de Direito e direitos fundamentais, surge como pré-condição</w:t>
      </w:r>
      <w:r w:rsidR="0029378F">
        <w:rPr>
          <w:rFonts w:ascii="Times New Roman" w:hAnsi="Times New Roman" w:cs="Times New Roman"/>
          <w:sz w:val="24"/>
          <w:szCs w:val="24"/>
        </w:rPr>
        <w:t xml:space="preserve"> mais</w:t>
      </w:r>
      <w:r>
        <w:rPr>
          <w:rFonts w:ascii="Times New Roman" w:hAnsi="Times New Roman" w:cs="Times New Roman"/>
          <w:sz w:val="24"/>
          <w:szCs w:val="24"/>
        </w:rPr>
        <w:t xml:space="preserve"> evidente quando a UE pretende interferir </w:t>
      </w:r>
      <w:r w:rsidR="0029378F">
        <w:rPr>
          <w:rFonts w:ascii="Times New Roman" w:hAnsi="Times New Roman" w:cs="Times New Roman"/>
          <w:sz w:val="24"/>
          <w:szCs w:val="24"/>
        </w:rPr>
        <w:t>no núcleo do poder soberano – ou seja, nas matérias que, neste momento, se encontram reunidas na Área de Liberdade, Segurança e Justiça</w:t>
      </w:r>
      <w:r w:rsidR="00774798">
        <w:rPr>
          <w:rFonts w:ascii="Times New Roman" w:hAnsi="Times New Roman" w:cs="Times New Roman"/>
          <w:sz w:val="24"/>
          <w:szCs w:val="24"/>
        </w:rPr>
        <w:t xml:space="preserve"> (ALSJ)</w:t>
      </w:r>
      <w:r w:rsidR="0029378F">
        <w:rPr>
          <w:rFonts w:ascii="Times New Roman" w:hAnsi="Times New Roman" w:cs="Times New Roman"/>
          <w:sz w:val="24"/>
          <w:szCs w:val="24"/>
        </w:rPr>
        <w:t xml:space="preserve">. Por outro lado, a manutenção </w:t>
      </w:r>
      <w:r w:rsidR="00D15C4B">
        <w:rPr>
          <w:rFonts w:ascii="Times New Roman" w:hAnsi="Times New Roman" w:cs="Times New Roman"/>
          <w:sz w:val="24"/>
          <w:szCs w:val="24"/>
        </w:rPr>
        <w:t>da mesma</w:t>
      </w:r>
      <w:r w:rsidR="0029378F">
        <w:rPr>
          <w:rFonts w:ascii="Times New Roman" w:hAnsi="Times New Roman" w:cs="Times New Roman"/>
          <w:sz w:val="24"/>
          <w:szCs w:val="24"/>
        </w:rPr>
        <w:t>, que depende em primeiro lugar da manutenção das condições materiais que permitiram o seu surgimento</w:t>
      </w:r>
      <w:r w:rsidR="005C222E">
        <w:rPr>
          <w:rFonts w:ascii="Times New Roman" w:hAnsi="Times New Roman" w:cs="Times New Roman"/>
          <w:sz w:val="24"/>
          <w:szCs w:val="24"/>
        </w:rPr>
        <w:t xml:space="preserve">, não se encontra atribuída, de forma unívoca, a uma ou outra esfera (neste caso, ou à UE ou aos EM) – pelo contrário, sendo uma relação que se estabelece entre essas entidades, deverá der respeitada por todos os envolvidos. </w:t>
      </w:r>
    </w:p>
    <w:p w14:paraId="1CC19A12" w14:textId="77777777" w:rsidR="00883416" w:rsidRDefault="00883416" w:rsidP="00DD7D4F">
      <w:pPr>
        <w:spacing w:after="0" w:line="240" w:lineRule="auto"/>
        <w:ind w:firstLine="708"/>
        <w:jc w:val="both"/>
        <w:rPr>
          <w:rFonts w:ascii="Times New Roman" w:hAnsi="Times New Roman" w:cs="Times New Roman"/>
          <w:sz w:val="24"/>
          <w:szCs w:val="24"/>
        </w:rPr>
      </w:pPr>
    </w:p>
    <w:p w14:paraId="2280177D" w14:textId="350F134E" w:rsidR="00883416" w:rsidRDefault="00883416" w:rsidP="00883416">
      <w:pPr>
        <w:pStyle w:val="Prrafodelista"/>
        <w:numPr>
          <w:ilvl w:val="1"/>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15F19">
        <w:rPr>
          <w:rFonts w:ascii="Times New Roman" w:hAnsi="Times New Roman" w:cs="Times New Roman"/>
          <w:b/>
          <w:bCs/>
          <w:sz w:val="24"/>
          <w:szCs w:val="24"/>
        </w:rPr>
        <w:t>Confiança horizontal e relação</w:t>
      </w:r>
      <w:r w:rsidR="0010431A">
        <w:rPr>
          <w:rFonts w:ascii="Times New Roman" w:hAnsi="Times New Roman" w:cs="Times New Roman"/>
          <w:b/>
          <w:bCs/>
          <w:sz w:val="24"/>
          <w:szCs w:val="24"/>
        </w:rPr>
        <w:t xml:space="preserve"> interna</w:t>
      </w:r>
      <w:r w:rsidR="00F15F19">
        <w:rPr>
          <w:rFonts w:ascii="Times New Roman" w:hAnsi="Times New Roman" w:cs="Times New Roman"/>
          <w:b/>
          <w:bCs/>
          <w:sz w:val="24"/>
          <w:szCs w:val="24"/>
        </w:rPr>
        <w:t xml:space="preserve"> entre os EM</w:t>
      </w:r>
    </w:p>
    <w:p w14:paraId="2818557C" w14:textId="34B0A4F9" w:rsidR="00F15F19" w:rsidRDefault="00027627" w:rsidP="00027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todos os mecanismos hoje existentes que </w:t>
      </w:r>
      <w:r w:rsidR="00861BC6">
        <w:rPr>
          <w:rFonts w:ascii="Times New Roman" w:hAnsi="Times New Roman" w:cs="Times New Roman"/>
          <w:sz w:val="24"/>
          <w:szCs w:val="24"/>
        </w:rPr>
        <w:t xml:space="preserve">implicam </w:t>
      </w:r>
      <w:r w:rsidR="007347D6">
        <w:rPr>
          <w:rFonts w:ascii="Times New Roman" w:hAnsi="Times New Roman" w:cs="Times New Roman"/>
          <w:sz w:val="24"/>
          <w:szCs w:val="24"/>
        </w:rPr>
        <w:t>a</w:t>
      </w:r>
      <w:r w:rsidR="00861BC6">
        <w:rPr>
          <w:rFonts w:ascii="Times New Roman" w:hAnsi="Times New Roman" w:cs="Times New Roman"/>
          <w:sz w:val="24"/>
          <w:szCs w:val="24"/>
        </w:rPr>
        <w:t xml:space="preserve"> cooperação</w:t>
      </w:r>
      <w:r w:rsidR="007347D6">
        <w:rPr>
          <w:rFonts w:ascii="Times New Roman" w:hAnsi="Times New Roman" w:cs="Times New Roman"/>
          <w:sz w:val="24"/>
          <w:szCs w:val="24"/>
        </w:rPr>
        <w:t xml:space="preserve"> entre EM</w:t>
      </w:r>
      <w:r w:rsidR="00861BC6">
        <w:rPr>
          <w:rFonts w:ascii="Times New Roman" w:hAnsi="Times New Roman" w:cs="Times New Roman"/>
          <w:sz w:val="24"/>
          <w:szCs w:val="24"/>
        </w:rPr>
        <w:t xml:space="preserve">, o Mandado de Detenção Europeu (MDE) é aquele que levanta as questões mais prementes, precisamente porque interfere de modo mais acutilante com os direitos fundamentais e com o modo de protecção considerado mais adequado de acordo com </w:t>
      </w:r>
      <w:r w:rsidR="007347D6">
        <w:rPr>
          <w:rFonts w:ascii="Times New Roman" w:hAnsi="Times New Roman" w:cs="Times New Roman"/>
          <w:sz w:val="24"/>
          <w:szCs w:val="24"/>
        </w:rPr>
        <w:t>um dado</w:t>
      </w:r>
      <w:r w:rsidR="00861BC6">
        <w:rPr>
          <w:rFonts w:ascii="Times New Roman" w:hAnsi="Times New Roman" w:cs="Times New Roman"/>
          <w:sz w:val="24"/>
          <w:szCs w:val="24"/>
        </w:rPr>
        <w:t xml:space="preserve"> Estado. </w:t>
      </w:r>
    </w:p>
    <w:p w14:paraId="627D0C0A" w14:textId="772B8135" w:rsidR="00D0194C" w:rsidRDefault="00861BC6" w:rsidP="00027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cooperação facilitada hoje existente foi possibilitada pela afirmação de valores comuns a todos </w:t>
      </w:r>
      <w:r w:rsidR="002D7942">
        <w:rPr>
          <w:rFonts w:ascii="Times New Roman" w:hAnsi="Times New Roman" w:cs="Times New Roman"/>
          <w:sz w:val="24"/>
          <w:szCs w:val="24"/>
        </w:rPr>
        <w:t>os EM</w:t>
      </w:r>
      <w:r w:rsidR="00AF1789">
        <w:rPr>
          <w:rStyle w:val="Refdenotaalpie"/>
          <w:rFonts w:ascii="Times New Roman" w:hAnsi="Times New Roman" w:cs="Times New Roman"/>
          <w:sz w:val="24"/>
          <w:szCs w:val="24"/>
        </w:rPr>
        <w:footnoteReference w:id="28"/>
      </w:r>
      <w:r w:rsidR="002D7942">
        <w:rPr>
          <w:rFonts w:ascii="Times New Roman" w:hAnsi="Times New Roman" w:cs="Times New Roman"/>
          <w:sz w:val="24"/>
          <w:szCs w:val="24"/>
        </w:rPr>
        <w:t xml:space="preserve">: os valores comuns determinam a existência de princípios comuns e eventualmente um nível equivalente (mínimo denominador comum) de protecção dos direitos fundamentais. Por isso, mesmo que as soluções legais não sejam exactamente as mesmas, os EM toleram essa diferença porque </w:t>
      </w:r>
      <w:r w:rsidR="002D7942">
        <w:rPr>
          <w:rFonts w:ascii="Times New Roman" w:hAnsi="Times New Roman" w:cs="Times New Roman"/>
          <w:i/>
          <w:iCs/>
          <w:sz w:val="24"/>
          <w:szCs w:val="24"/>
        </w:rPr>
        <w:t>confiam</w:t>
      </w:r>
      <w:r w:rsidR="002D7942">
        <w:rPr>
          <w:rFonts w:ascii="Times New Roman" w:hAnsi="Times New Roman" w:cs="Times New Roman"/>
          <w:sz w:val="24"/>
          <w:szCs w:val="24"/>
        </w:rPr>
        <w:t xml:space="preserve"> que a solução material (baseada nos mesmos fundamentos axiológicos) não será significativamente divergente da ditada pelos valores nucleares existentes </w:t>
      </w:r>
      <w:r w:rsidR="00D0194C">
        <w:rPr>
          <w:rFonts w:ascii="Times New Roman" w:hAnsi="Times New Roman" w:cs="Times New Roman"/>
          <w:sz w:val="24"/>
          <w:szCs w:val="24"/>
        </w:rPr>
        <w:t xml:space="preserve">no panorama </w:t>
      </w:r>
      <w:r w:rsidR="002D7942">
        <w:rPr>
          <w:rFonts w:ascii="Times New Roman" w:hAnsi="Times New Roman" w:cs="Times New Roman"/>
          <w:sz w:val="24"/>
          <w:szCs w:val="24"/>
        </w:rPr>
        <w:t xml:space="preserve">puramente interno. </w:t>
      </w:r>
      <w:r w:rsidR="00D0194C">
        <w:rPr>
          <w:rFonts w:ascii="Times New Roman" w:hAnsi="Times New Roman" w:cs="Times New Roman"/>
          <w:sz w:val="24"/>
          <w:szCs w:val="24"/>
        </w:rPr>
        <w:t xml:space="preserve">Uma vez afirmado esse princípio-base, a </w:t>
      </w:r>
      <w:r w:rsidR="00D0194C">
        <w:rPr>
          <w:rFonts w:ascii="Times New Roman" w:hAnsi="Times New Roman" w:cs="Times New Roman"/>
          <w:i/>
          <w:iCs/>
          <w:sz w:val="24"/>
          <w:szCs w:val="24"/>
        </w:rPr>
        <w:t xml:space="preserve">presunção </w:t>
      </w:r>
      <w:r w:rsidR="00D0194C">
        <w:rPr>
          <w:rFonts w:ascii="Times New Roman" w:hAnsi="Times New Roman" w:cs="Times New Roman"/>
          <w:sz w:val="24"/>
          <w:szCs w:val="24"/>
        </w:rPr>
        <w:t xml:space="preserve">da existência de um adequado nível de protecção dos direitos fundamentais em toda a UE não demoraria a ser implementada, sendo esta, ainda, </w:t>
      </w:r>
      <w:r w:rsidR="00D15C4B">
        <w:rPr>
          <w:rFonts w:ascii="Times New Roman" w:hAnsi="Times New Roman" w:cs="Times New Roman"/>
          <w:sz w:val="24"/>
          <w:szCs w:val="24"/>
        </w:rPr>
        <w:t>a</w:t>
      </w:r>
      <w:r w:rsidR="00D0194C">
        <w:rPr>
          <w:rFonts w:ascii="Times New Roman" w:hAnsi="Times New Roman" w:cs="Times New Roman"/>
          <w:sz w:val="24"/>
          <w:szCs w:val="24"/>
        </w:rPr>
        <w:t xml:space="preserve"> que fundamentalmente define a cooperação judiciária </w:t>
      </w:r>
      <w:r w:rsidR="00D15C4B">
        <w:rPr>
          <w:rFonts w:ascii="Times New Roman" w:hAnsi="Times New Roman" w:cs="Times New Roman"/>
          <w:sz w:val="24"/>
          <w:szCs w:val="24"/>
        </w:rPr>
        <w:t>hodierna</w:t>
      </w:r>
      <w:r w:rsidR="00D0194C">
        <w:rPr>
          <w:rStyle w:val="Refdenotaalpie"/>
          <w:rFonts w:ascii="Times New Roman" w:hAnsi="Times New Roman" w:cs="Times New Roman"/>
          <w:sz w:val="24"/>
          <w:szCs w:val="24"/>
        </w:rPr>
        <w:footnoteReference w:id="29"/>
      </w:r>
      <w:r w:rsidR="00D0194C">
        <w:rPr>
          <w:rFonts w:ascii="Times New Roman" w:hAnsi="Times New Roman" w:cs="Times New Roman"/>
          <w:sz w:val="24"/>
          <w:szCs w:val="24"/>
        </w:rPr>
        <w:t xml:space="preserve">. </w:t>
      </w:r>
    </w:p>
    <w:p w14:paraId="725EC80B" w14:textId="396298F7" w:rsidR="00397EDA" w:rsidRDefault="007D1FAB" w:rsidP="00027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presunção </w:t>
      </w:r>
      <w:r w:rsidR="00C37B11">
        <w:rPr>
          <w:rFonts w:ascii="Times New Roman" w:hAnsi="Times New Roman" w:cs="Times New Roman"/>
          <w:sz w:val="24"/>
          <w:szCs w:val="24"/>
        </w:rPr>
        <w:t xml:space="preserve">de que todas as entidades envolvidas </w:t>
      </w:r>
      <w:r w:rsidR="008031B1">
        <w:rPr>
          <w:rFonts w:ascii="Times New Roman" w:hAnsi="Times New Roman" w:cs="Times New Roman"/>
          <w:sz w:val="24"/>
          <w:szCs w:val="24"/>
        </w:rPr>
        <w:t>respeitam os direitos fundamentais é um importante elemento a ter em conta quando os Estados cooperam entre si, uma vez que determina que a recusa de cooperação deve constituir uma excepção. Isso terá uma dupla consequência:</w:t>
      </w:r>
      <w:r w:rsidR="007347D6">
        <w:rPr>
          <w:rFonts w:ascii="Times New Roman" w:hAnsi="Times New Roman" w:cs="Times New Roman"/>
          <w:sz w:val="24"/>
          <w:szCs w:val="24"/>
        </w:rPr>
        <w:t xml:space="preserve"> aos EM</w:t>
      </w:r>
      <w:r w:rsidR="008031B1">
        <w:rPr>
          <w:rFonts w:ascii="Times New Roman" w:hAnsi="Times New Roman" w:cs="Times New Roman"/>
          <w:sz w:val="24"/>
          <w:szCs w:val="24"/>
        </w:rPr>
        <w:t xml:space="preserve"> “</w:t>
      </w:r>
      <w:r w:rsidR="008031B1" w:rsidRPr="008031B1">
        <w:rPr>
          <w:rFonts w:ascii="Times New Roman" w:hAnsi="Times New Roman" w:cs="Times New Roman"/>
          <w:sz w:val="24"/>
          <w:szCs w:val="24"/>
        </w:rPr>
        <w:t>não lhes é possível exigir a outro Estado</w:t>
      </w:r>
      <w:r w:rsidR="008031B1" w:rsidRPr="008031B1">
        <w:rPr>
          <w:rFonts w:ascii="Times New Roman" w:hAnsi="Times New Roman" w:cs="Times New Roman"/>
          <w:sz w:val="24"/>
          <w:szCs w:val="24"/>
        </w:rPr>
        <w:noBreakHyphen/>
        <w:t xml:space="preserve">Membro um nível de proteção nacional dos direitos fundamentais mais elevado do que o </w:t>
      </w:r>
      <w:r w:rsidR="008031B1" w:rsidRPr="008031B1">
        <w:rPr>
          <w:rFonts w:ascii="Times New Roman" w:hAnsi="Times New Roman" w:cs="Times New Roman"/>
          <w:sz w:val="24"/>
          <w:szCs w:val="24"/>
        </w:rPr>
        <w:lastRenderedPageBreak/>
        <w:t>assegurado pelo direito da União, nem tão</w:t>
      </w:r>
      <w:r w:rsidR="008031B1" w:rsidRPr="008031B1">
        <w:rPr>
          <w:rFonts w:ascii="Times New Roman" w:hAnsi="Times New Roman" w:cs="Times New Roman"/>
          <w:sz w:val="24"/>
          <w:szCs w:val="24"/>
        </w:rPr>
        <w:noBreakHyphen/>
        <w:t>pouco, salvo em circunstâncias excecionais, verificar se esse outro Estado</w:t>
      </w:r>
      <w:r w:rsidR="008031B1" w:rsidRPr="008031B1">
        <w:rPr>
          <w:rFonts w:ascii="Times New Roman" w:hAnsi="Times New Roman" w:cs="Times New Roman"/>
          <w:sz w:val="24"/>
          <w:szCs w:val="24"/>
        </w:rPr>
        <w:noBreakHyphen/>
        <w:t>Membro respeitou efetivamente, num caso concreto, os direitos fundamentais garantidos pela União</w:t>
      </w:r>
      <w:r w:rsidR="008031B1">
        <w:rPr>
          <w:rFonts w:ascii="Times New Roman" w:hAnsi="Times New Roman" w:cs="Times New Roman"/>
          <w:sz w:val="24"/>
          <w:szCs w:val="24"/>
        </w:rPr>
        <w:t>”</w:t>
      </w:r>
      <w:r w:rsidR="008031B1">
        <w:rPr>
          <w:rStyle w:val="Refdenotaalpie"/>
          <w:rFonts w:ascii="Times New Roman" w:hAnsi="Times New Roman" w:cs="Times New Roman"/>
          <w:sz w:val="24"/>
          <w:szCs w:val="24"/>
        </w:rPr>
        <w:footnoteReference w:id="30"/>
      </w:r>
      <w:r w:rsidR="00C304F2">
        <w:rPr>
          <w:rFonts w:ascii="Times New Roman" w:hAnsi="Times New Roman" w:cs="Times New Roman"/>
          <w:sz w:val="24"/>
          <w:szCs w:val="24"/>
        </w:rPr>
        <w:t xml:space="preserve"> – salvo em situações muito excepcionais. </w:t>
      </w:r>
    </w:p>
    <w:p w14:paraId="5DDF8EE8" w14:textId="1DC628A6" w:rsidR="00C304F2" w:rsidRDefault="00C304F2" w:rsidP="00027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vez que a protecção dos direitos fundamentais é, primariamente, </w:t>
      </w:r>
      <w:r w:rsidR="00BE4987">
        <w:rPr>
          <w:rFonts w:ascii="Times New Roman" w:hAnsi="Times New Roman" w:cs="Times New Roman"/>
          <w:sz w:val="24"/>
          <w:szCs w:val="24"/>
        </w:rPr>
        <w:t>um dever do EM de emissão</w:t>
      </w:r>
      <w:r w:rsidR="00AF2D9F">
        <w:rPr>
          <w:rStyle w:val="Refdenotaalpie"/>
          <w:rFonts w:ascii="Times New Roman" w:hAnsi="Times New Roman" w:cs="Times New Roman"/>
          <w:sz w:val="24"/>
          <w:szCs w:val="24"/>
        </w:rPr>
        <w:footnoteReference w:id="31"/>
      </w:r>
      <w:r w:rsidR="00BE4987">
        <w:rPr>
          <w:rFonts w:ascii="Times New Roman" w:hAnsi="Times New Roman" w:cs="Times New Roman"/>
          <w:sz w:val="24"/>
          <w:szCs w:val="24"/>
        </w:rPr>
        <w:t xml:space="preserve">, e que se pressupõe existir um nível equivalente de protecção dos </w:t>
      </w:r>
      <w:r w:rsidR="00622AE2">
        <w:rPr>
          <w:rFonts w:ascii="Times New Roman" w:hAnsi="Times New Roman" w:cs="Times New Roman"/>
          <w:sz w:val="24"/>
          <w:szCs w:val="24"/>
        </w:rPr>
        <w:t>mesmos</w:t>
      </w:r>
      <w:r w:rsidR="00BE4987">
        <w:rPr>
          <w:rFonts w:ascii="Times New Roman" w:hAnsi="Times New Roman" w:cs="Times New Roman"/>
          <w:sz w:val="24"/>
          <w:szCs w:val="24"/>
        </w:rPr>
        <w:t xml:space="preserve"> em toda a UE, nas causas de recusa taxativamente listadas na Decisão-Quadro do MDE (e, consequentemente, na lei de transposição portuguesa, L65/2003) não se encontra prevista nenhuma baseada na violação (prospectiva) de direitos fundamentais da pessoa objecto da cooperação. </w:t>
      </w:r>
      <w:r w:rsidR="00532EBA">
        <w:rPr>
          <w:rFonts w:ascii="Times New Roman" w:hAnsi="Times New Roman" w:cs="Times New Roman"/>
          <w:sz w:val="24"/>
          <w:szCs w:val="24"/>
        </w:rPr>
        <w:t xml:space="preserve">Eventualmente tornou-se evidente que </w:t>
      </w:r>
      <w:r w:rsidR="007076D0">
        <w:rPr>
          <w:rFonts w:ascii="Times New Roman" w:hAnsi="Times New Roman" w:cs="Times New Roman"/>
          <w:sz w:val="24"/>
          <w:szCs w:val="24"/>
        </w:rPr>
        <w:t>seria necessário prever um desvio a esta confiança presumida e automática</w:t>
      </w:r>
      <w:r w:rsidR="00A4696B">
        <w:rPr>
          <w:rStyle w:val="Refdenotaalpie"/>
          <w:rFonts w:ascii="Times New Roman" w:hAnsi="Times New Roman" w:cs="Times New Roman"/>
          <w:sz w:val="24"/>
          <w:szCs w:val="24"/>
        </w:rPr>
        <w:footnoteReference w:id="32"/>
      </w:r>
      <w:r w:rsidR="00A4696B">
        <w:rPr>
          <w:rFonts w:ascii="Times New Roman" w:hAnsi="Times New Roman" w:cs="Times New Roman"/>
          <w:sz w:val="24"/>
          <w:szCs w:val="24"/>
        </w:rPr>
        <w:t xml:space="preserve">. </w:t>
      </w:r>
      <w:r w:rsidR="0041380B">
        <w:rPr>
          <w:rFonts w:ascii="Times New Roman" w:hAnsi="Times New Roman" w:cs="Times New Roman"/>
          <w:sz w:val="24"/>
          <w:szCs w:val="24"/>
        </w:rPr>
        <w:t>No entanto, a existência de um acervo de valores comuns partilhado pelos EM “</w:t>
      </w:r>
      <w:r w:rsidR="008B646D" w:rsidRPr="008B646D">
        <w:rPr>
          <w:rFonts w:ascii="Times New Roman" w:hAnsi="Times New Roman" w:cs="Times New Roman"/>
          <w:sz w:val="24"/>
          <w:szCs w:val="24"/>
        </w:rPr>
        <w:t>implica e justifica a existência da confiança mútua entre os Estados</w:t>
      </w:r>
      <w:r w:rsidR="008B646D" w:rsidRPr="008B646D">
        <w:rPr>
          <w:rFonts w:ascii="Times New Roman" w:hAnsi="Times New Roman" w:cs="Times New Roman"/>
          <w:sz w:val="24"/>
          <w:szCs w:val="24"/>
        </w:rPr>
        <w:noBreakHyphen/>
        <w:t>Membros</w:t>
      </w:r>
      <w:r w:rsidR="008B646D">
        <w:rPr>
          <w:rFonts w:ascii="Times New Roman" w:hAnsi="Times New Roman" w:cs="Times New Roman"/>
          <w:sz w:val="24"/>
          <w:szCs w:val="24"/>
        </w:rPr>
        <w:t>”</w:t>
      </w:r>
      <w:r w:rsidR="008B646D">
        <w:rPr>
          <w:rStyle w:val="Refdenotaalpie"/>
          <w:rFonts w:ascii="Times New Roman" w:hAnsi="Times New Roman" w:cs="Times New Roman"/>
          <w:sz w:val="24"/>
          <w:szCs w:val="24"/>
        </w:rPr>
        <w:footnoteReference w:id="33"/>
      </w:r>
      <w:r w:rsidR="009254D7">
        <w:rPr>
          <w:rFonts w:ascii="Times New Roman" w:hAnsi="Times New Roman" w:cs="Times New Roman"/>
          <w:sz w:val="24"/>
          <w:szCs w:val="24"/>
        </w:rPr>
        <w:t xml:space="preserve">, que apenas pode ser refutada em casos em que se consegue demonstrar que existem motivos suficientes para acreditar que uma violação de um direito fundamental do indivíduo terá lugar após a sua entrega. </w:t>
      </w:r>
    </w:p>
    <w:p w14:paraId="67B8A10F" w14:textId="56123BD9" w:rsidR="003E014A" w:rsidRDefault="00D80CAC" w:rsidP="003E01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que se recuse a entrega deve ser efectuado um teste em duas fases, de acordo com o estabelecido pelo TJUE. Primeiramente, </w:t>
      </w:r>
      <w:r w:rsidR="004D5775">
        <w:rPr>
          <w:rFonts w:ascii="Times New Roman" w:hAnsi="Times New Roman" w:cs="Times New Roman"/>
          <w:sz w:val="24"/>
          <w:szCs w:val="24"/>
        </w:rPr>
        <w:t xml:space="preserve">devem ser identificadas </w:t>
      </w:r>
      <w:r w:rsidR="004D5775" w:rsidRPr="004D5775">
        <w:rPr>
          <w:rFonts w:ascii="Times New Roman" w:hAnsi="Times New Roman" w:cs="Times New Roman"/>
          <w:sz w:val="24"/>
          <w:szCs w:val="24"/>
        </w:rPr>
        <w:t xml:space="preserve">deficiências, </w:t>
      </w:r>
      <w:r w:rsidR="004D5775">
        <w:rPr>
          <w:rFonts w:ascii="Times New Roman" w:hAnsi="Times New Roman" w:cs="Times New Roman"/>
          <w:sz w:val="24"/>
          <w:szCs w:val="24"/>
        </w:rPr>
        <w:t>sistémicas ou generalizadas (e não apenas esporádicas ou individualizadas); e</w:t>
      </w:r>
      <w:r w:rsidR="006125ED">
        <w:rPr>
          <w:rFonts w:ascii="Times New Roman" w:hAnsi="Times New Roman" w:cs="Times New Roman"/>
          <w:sz w:val="24"/>
          <w:szCs w:val="24"/>
        </w:rPr>
        <w:t xml:space="preserve">, em segundo lugar, </w:t>
      </w:r>
      <w:r w:rsidR="00A476B9">
        <w:rPr>
          <w:rFonts w:ascii="Times New Roman" w:hAnsi="Times New Roman" w:cs="Times New Roman"/>
          <w:sz w:val="24"/>
          <w:szCs w:val="24"/>
        </w:rPr>
        <w:t>deve existir um risco específico de que a pessoa em concreto veja o seu direito violado no EM de emissão. Quando questionado se ambos os passos seriam necessários, o TJUE quase sempre respondeu na afirmativa</w:t>
      </w:r>
      <w:r w:rsidR="00A476B9">
        <w:rPr>
          <w:rStyle w:val="Refdenotaalpie"/>
          <w:rFonts w:ascii="Times New Roman" w:hAnsi="Times New Roman" w:cs="Times New Roman"/>
          <w:sz w:val="24"/>
          <w:szCs w:val="24"/>
        </w:rPr>
        <w:footnoteReference w:id="34"/>
      </w:r>
      <w:r w:rsidR="003E014A">
        <w:rPr>
          <w:rFonts w:ascii="Times New Roman" w:hAnsi="Times New Roman" w:cs="Times New Roman"/>
          <w:sz w:val="24"/>
          <w:szCs w:val="24"/>
        </w:rPr>
        <w:t>.</w:t>
      </w:r>
    </w:p>
    <w:p w14:paraId="5F0C1806" w14:textId="6D19DDCE" w:rsidR="003E014A" w:rsidRDefault="003E014A" w:rsidP="003E01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Desde logo, porque nem sempre as deficiências sistémicas terão impacto na situação </w:t>
      </w:r>
      <w:r w:rsidR="00622AE2">
        <w:rPr>
          <w:rFonts w:ascii="Times New Roman" w:hAnsi="Times New Roman" w:cs="Times New Roman"/>
          <w:sz w:val="24"/>
          <w:szCs w:val="24"/>
        </w:rPr>
        <w:t>individual</w:t>
      </w:r>
      <w:r>
        <w:rPr>
          <w:rFonts w:ascii="Times New Roman" w:hAnsi="Times New Roman" w:cs="Times New Roman"/>
          <w:sz w:val="24"/>
          <w:szCs w:val="24"/>
        </w:rPr>
        <w:t xml:space="preserve"> – p. ex., </w:t>
      </w:r>
      <w:r w:rsidR="00D17547">
        <w:rPr>
          <w:rFonts w:ascii="Times New Roman" w:hAnsi="Times New Roman" w:cs="Times New Roman"/>
          <w:sz w:val="24"/>
          <w:szCs w:val="24"/>
        </w:rPr>
        <w:t xml:space="preserve">porque </w:t>
      </w:r>
      <w:r>
        <w:rPr>
          <w:rFonts w:ascii="Times New Roman" w:hAnsi="Times New Roman" w:cs="Times New Roman"/>
          <w:sz w:val="24"/>
          <w:szCs w:val="24"/>
        </w:rPr>
        <w:t xml:space="preserve">o concreto estabelecimento prisional onde se espera deter o indivíduo não </w:t>
      </w:r>
      <w:r w:rsidR="00D17547">
        <w:rPr>
          <w:rFonts w:ascii="Times New Roman" w:hAnsi="Times New Roman" w:cs="Times New Roman"/>
          <w:sz w:val="24"/>
          <w:szCs w:val="24"/>
        </w:rPr>
        <w:t>apresenta as deficiências identificadas</w:t>
      </w:r>
      <w:r>
        <w:rPr>
          <w:rStyle w:val="Refdenotaalpie"/>
          <w:rFonts w:ascii="Times New Roman" w:hAnsi="Times New Roman" w:cs="Times New Roman"/>
          <w:sz w:val="24"/>
          <w:szCs w:val="24"/>
        </w:rPr>
        <w:footnoteReference w:id="35"/>
      </w:r>
      <w:r>
        <w:rPr>
          <w:rFonts w:ascii="Times New Roman" w:hAnsi="Times New Roman" w:cs="Times New Roman"/>
          <w:sz w:val="24"/>
          <w:szCs w:val="24"/>
        </w:rPr>
        <w:t>.</w:t>
      </w:r>
      <w:r w:rsidR="00B66C23">
        <w:rPr>
          <w:rFonts w:ascii="Times New Roman" w:hAnsi="Times New Roman" w:cs="Times New Roman"/>
          <w:sz w:val="24"/>
          <w:szCs w:val="24"/>
        </w:rPr>
        <w:t xml:space="preserve"> Depois, porque se os EM pudessem recusar a cooperação assim que se verificassem deficiências sistémicas, sem avaliar o impacto individual das mesmas, isso equivaleria, </w:t>
      </w:r>
      <w:r w:rsidR="00E2020F">
        <w:rPr>
          <w:rFonts w:ascii="Times New Roman" w:hAnsi="Times New Roman" w:cs="Times New Roman"/>
          <w:sz w:val="24"/>
          <w:szCs w:val="24"/>
        </w:rPr>
        <w:t>na prática</w:t>
      </w:r>
      <w:r w:rsidR="00B66C23">
        <w:rPr>
          <w:rFonts w:ascii="Times New Roman" w:hAnsi="Times New Roman" w:cs="Times New Roman"/>
          <w:sz w:val="24"/>
          <w:szCs w:val="24"/>
        </w:rPr>
        <w:t xml:space="preserve">, </w:t>
      </w:r>
      <w:r w:rsidR="00E2020F">
        <w:rPr>
          <w:rFonts w:ascii="Times New Roman" w:hAnsi="Times New Roman" w:cs="Times New Roman"/>
          <w:sz w:val="24"/>
          <w:szCs w:val="24"/>
        </w:rPr>
        <w:t>a suspender a aplicação do MDE em relação a um EM sem existir anteriormente o procedimento adequado a tal</w:t>
      </w:r>
      <w:r w:rsidR="00E2020F">
        <w:rPr>
          <w:rStyle w:val="Refdenotaalpie"/>
          <w:rFonts w:ascii="Times New Roman" w:hAnsi="Times New Roman" w:cs="Times New Roman"/>
          <w:sz w:val="24"/>
          <w:szCs w:val="24"/>
        </w:rPr>
        <w:footnoteReference w:id="36"/>
      </w:r>
      <w:r w:rsidR="00E2020F">
        <w:rPr>
          <w:rFonts w:ascii="Times New Roman" w:hAnsi="Times New Roman" w:cs="Times New Roman"/>
          <w:sz w:val="24"/>
          <w:szCs w:val="24"/>
        </w:rPr>
        <w:t xml:space="preserve">. Assim, a suspensão será realmente possível, mas apenas no caso de violação grave e sistemática dos valores plasmados no art. 2º TUE, constatada segundo os procedimentos para tal estabelecidos nos Tratados. </w:t>
      </w:r>
      <w:r w:rsidR="004665A1">
        <w:rPr>
          <w:rFonts w:ascii="Times New Roman" w:hAnsi="Times New Roman" w:cs="Times New Roman"/>
          <w:sz w:val="24"/>
          <w:szCs w:val="24"/>
        </w:rPr>
        <w:t>Esta questão surgiu no âmbito de pedidos de decisão prejudicial relacionados com a independência do sistema judiciári</w:t>
      </w:r>
      <w:r w:rsidR="00622AE2">
        <w:rPr>
          <w:rFonts w:ascii="Times New Roman" w:hAnsi="Times New Roman" w:cs="Times New Roman"/>
          <w:sz w:val="24"/>
          <w:szCs w:val="24"/>
        </w:rPr>
        <w:t>o</w:t>
      </w:r>
      <w:r w:rsidR="004665A1">
        <w:rPr>
          <w:rFonts w:ascii="Times New Roman" w:hAnsi="Times New Roman" w:cs="Times New Roman"/>
          <w:sz w:val="24"/>
          <w:szCs w:val="24"/>
        </w:rPr>
        <w:t xml:space="preserve"> na Polónia, uma vez que os restantes EM demonstravam relutância em executar MDE </w:t>
      </w:r>
      <w:r w:rsidR="00622AE2">
        <w:rPr>
          <w:rFonts w:ascii="Times New Roman" w:hAnsi="Times New Roman" w:cs="Times New Roman"/>
          <w:sz w:val="24"/>
          <w:szCs w:val="24"/>
        </w:rPr>
        <w:t xml:space="preserve">por si </w:t>
      </w:r>
      <w:r w:rsidR="004665A1">
        <w:rPr>
          <w:rFonts w:ascii="Times New Roman" w:hAnsi="Times New Roman" w:cs="Times New Roman"/>
          <w:sz w:val="24"/>
          <w:szCs w:val="24"/>
        </w:rPr>
        <w:lastRenderedPageBreak/>
        <w:t>emitidos</w:t>
      </w:r>
      <w:r w:rsidR="004665A1">
        <w:rPr>
          <w:rStyle w:val="Refdenotaalpie"/>
          <w:rFonts w:ascii="Times New Roman" w:hAnsi="Times New Roman" w:cs="Times New Roman"/>
          <w:sz w:val="24"/>
          <w:szCs w:val="24"/>
        </w:rPr>
        <w:footnoteReference w:id="37"/>
      </w:r>
      <w:r w:rsidR="004665A1">
        <w:rPr>
          <w:rFonts w:ascii="Times New Roman" w:hAnsi="Times New Roman" w:cs="Times New Roman"/>
          <w:sz w:val="24"/>
          <w:szCs w:val="24"/>
        </w:rPr>
        <w:t xml:space="preserve">, </w:t>
      </w:r>
      <w:r w:rsidR="00622AE2">
        <w:rPr>
          <w:rFonts w:ascii="Times New Roman" w:hAnsi="Times New Roman" w:cs="Times New Roman"/>
          <w:sz w:val="24"/>
          <w:szCs w:val="24"/>
        </w:rPr>
        <w:t>por</w:t>
      </w:r>
      <w:r w:rsidR="004665A1">
        <w:rPr>
          <w:rFonts w:ascii="Times New Roman" w:hAnsi="Times New Roman" w:cs="Times New Roman"/>
          <w:sz w:val="24"/>
          <w:szCs w:val="24"/>
        </w:rPr>
        <w:t xml:space="preserve"> já não </w:t>
      </w:r>
      <w:r w:rsidR="00622AE2">
        <w:rPr>
          <w:rFonts w:ascii="Times New Roman" w:hAnsi="Times New Roman" w:cs="Times New Roman"/>
          <w:sz w:val="24"/>
          <w:szCs w:val="24"/>
        </w:rPr>
        <w:t>a considerarem</w:t>
      </w:r>
      <w:r w:rsidR="004665A1">
        <w:rPr>
          <w:rFonts w:ascii="Times New Roman" w:hAnsi="Times New Roman" w:cs="Times New Roman"/>
          <w:sz w:val="24"/>
          <w:szCs w:val="24"/>
        </w:rPr>
        <w:t xml:space="preserve"> um EM cumpridor dos valores nucleares da UE. </w:t>
      </w:r>
      <w:r w:rsidR="00A64935">
        <w:rPr>
          <w:rFonts w:ascii="Times New Roman" w:hAnsi="Times New Roman" w:cs="Times New Roman"/>
          <w:sz w:val="24"/>
          <w:szCs w:val="24"/>
        </w:rPr>
        <w:t xml:space="preserve">Mas ainda que os restantes EM tenham expressado as suas dúvidas em relação </w:t>
      </w:r>
      <w:r w:rsidR="00D17547">
        <w:rPr>
          <w:rFonts w:ascii="Times New Roman" w:hAnsi="Times New Roman" w:cs="Times New Roman"/>
          <w:sz w:val="24"/>
          <w:szCs w:val="24"/>
        </w:rPr>
        <w:t>ao respeito pelo</w:t>
      </w:r>
      <w:r w:rsidR="004B09AA">
        <w:rPr>
          <w:rFonts w:ascii="Times New Roman" w:hAnsi="Times New Roman" w:cs="Times New Roman"/>
          <w:sz w:val="24"/>
          <w:szCs w:val="24"/>
        </w:rPr>
        <w:t xml:space="preserve"> direito a um julgamento justo, e qual o nível de protecção desse direito no âmbito de um sistema tido por </w:t>
      </w:r>
      <w:r w:rsidR="004B09AA">
        <w:rPr>
          <w:rFonts w:ascii="Times New Roman" w:hAnsi="Times New Roman" w:cs="Times New Roman"/>
          <w:i/>
          <w:iCs/>
          <w:sz w:val="24"/>
          <w:szCs w:val="24"/>
        </w:rPr>
        <w:t>injusto</w:t>
      </w:r>
      <w:r w:rsidR="004B09AA">
        <w:rPr>
          <w:rFonts w:ascii="Times New Roman" w:hAnsi="Times New Roman" w:cs="Times New Roman"/>
          <w:sz w:val="24"/>
          <w:szCs w:val="24"/>
        </w:rPr>
        <w:t xml:space="preserve">, o </w:t>
      </w:r>
      <w:r w:rsidR="00622AE2">
        <w:rPr>
          <w:rFonts w:ascii="Times New Roman" w:hAnsi="Times New Roman" w:cs="Times New Roman"/>
          <w:sz w:val="24"/>
          <w:szCs w:val="24"/>
        </w:rPr>
        <w:t>TJUE</w:t>
      </w:r>
      <w:r w:rsidR="004B09AA">
        <w:rPr>
          <w:rFonts w:ascii="Times New Roman" w:hAnsi="Times New Roman" w:cs="Times New Roman"/>
          <w:sz w:val="24"/>
          <w:szCs w:val="24"/>
        </w:rPr>
        <w:t xml:space="preserve"> foi peremptório ao estipular que uma recusa automática de todos os MDE emitidos nesses casos corresponderia à suspensão do mecanismo do MDE em relação à Polónia sem que existisse uma decisão do Conselho nesse sentido (o que teria que seguir o procedimento do art. 7º TUE)</w:t>
      </w:r>
      <w:r w:rsidR="00C2135E">
        <w:rPr>
          <w:rStyle w:val="Refdenotaalpie"/>
          <w:rFonts w:ascii="Times New Roman" w:hAnsi="Times New Roman" w:cs="Times New Roman"/>
          <w:sz w:val="24"/>
          <w:szCs w:val="24"/>
        </w:rPr>
        <w:footnoteReference w:id="38"/>
      </w:r>
      <w:r w:rsidR="004B09AA">
        <w:rPr>
          <w:rFonts w:ascii="Times New Roman" w:hAnsi="Times New Roman" w:cs="Times New Roman"/>
          <w:sz w:val="24"/>
          <w:szCs w:val="24"/>
        </w:rPr>
        <w:t xml:space="preserve">. </w:t>
      </w:r>
    </w:p>
    <w:p w14:paraId="7A81D946" w14:textId="247A7729" w:rsidR="00C553E9" w:rsidRDefault="00C553E9" w:rsidP="003E01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 terceiro lugar, podem existir outros interesses legítimos, perseguidos pelo MDE</w:t>
      </w:r>
      <w:r w:rsidR="00622AE2">
        <w:rPr>
          <w:rFonts w:ascii="Times New Roman" w:hAnsi="Times New Roman" w:cs="Times New Roman"/>
          <w:sz w:val="24"/>
          <w:szCs w:val="24"/>
        </w:rPr>
        <w:t xml:space="preserve"> </w:t>
      </w:r>
      <w:r>
        <w:rPr>
          <w:rFonts w:ascii="Times New Roman" w:hAnsi="Times New Roman" w:cs="Times New Roman"/>
          <w:sz w:val="24"/>
          <w:szCs w:val="24"/>
        </w:rPr>
        <w:t>– como os direitos das vítimas</w:t>
      </w:r>
      <w:r w:rsidR="00F409EE">
        <w:rPr>
          <w:rStyle w:val="Refdenotaalpie"/>
          <w:rFonts w:ascii="Times New Roman" w:hAnsi="Times New Roman" w:cs="Times New Roman"/>
          <w:sz w:val="24"/>
          <w:szCs w:val="24"/>
        </w:rPr>
        <w:footnoteReference w:id="39"/>
      </w:r>
      <w:r>
        <w:rPr>
          <w:rFonts w:ascii="Times New Roman" w:hAnsi="Times New Roman" w:cs="Times New Roman"/>
          <w:sz w:val="24"/>
          <w:szCs w:val="24"/>
        </w:rPr>
        <w:t>, ou a necessidade de combater a impunidade</w:t>
      </w:r>
      <w:r w:rsidR="00F409EE">
        <w:rPr>
          <w:rStyle w:val="Refdenotaalpie"/>
          <w:rFonts w:ascii="Times New Roman" w:hAnsi="Times New Roman" w:cs="Times New Roman"/>
          <w:sz w:val="24"/>
          <w:szCs w:val="24"/>
        </w:rPr>
        <w:footnoteReference w:id="40"/>
      </w:r>
      <w:r>
        <w:rPr>
          <w:rFonts w:ascii="Times New Roman" w:hAnsi="Times New Roman" w:cs="Times New Roman"/>
          <w:sz w:val="24"/>
          <w:szCs w:val="24"/>
        </w:rPr>
        <w:t xml:space="preserve"> dentro da UE – que devem ser devidamente ponderados na decisão de </w:t>
      </w:r>
      <w:r w:rsidR="00F409EE">
        <w:rPr>
          <w:rFonts w:ascii="Times New Roman" w:hAnsi="Times New Roman" w:cs="Times New Roman"/>
          <w:sz w:val="24"/>
          <w:szCs w:val="24"/>
        </w:rPr>
        <w:t xml:space="preserve">recusar a cooperação. </w:t>
      </w:r>
      <w:r w:rsidR="008A031F">
        <w:rPr>
          <w:rFonts w:ascii="Times New Roman" w:hAnsi="Times New Roman" w:cs="Times New Roman"/>
          <w:sz w:val="24"/>
          <w:szCs w:val="24"/>
        </w:rPr>
        <w:t>Essa ponderação tem como objectivo encontrar um equilíbrio</w:t>
      </w:r>
      <w:r w:rsidR="00256AD0">
        <w:rPr>
          <w:rFonts w:ascii="Times New Roman" w:hAnsi="Times New Roman" w:cs="Times New Roman"/>
          <w:sz w:val="24"/>
          <w:szCs w:val="24"/>
        </w:rPr>
        <w:t xml:space="preserve"> </w:t>
      </w:r>
      <w:r w:rsidR="008A031F">
        <w:rPr>
          <w:rFonts w:ascii="Times New Roman" w:hAnsi="Times New Roman" w:cs="Times New Roman"/>
          <w:sz w:val="24"/>
          <w:szCs w:val="24"/>
        </w:rPr>
        <w:t xml:space="preserve">entre os direitos fundamentais dos arguidos </w:t>
      </w:r>
      <w:r w:rsidR="00F0713D">
        <w:rPr>
          <w:rFonts w:ascii="Times New Roman" w:hAnsi="Times New Roman" w:cs="Times New Roman"/>
          <w:sz w:val="24"/>
          <w:szCs w:val="24"/>
        </w:rPr>
        <w:t>procurados e outros interesses que possam existir; isso só assim não será quando em causa se encontrar violad</w:t>
      </w:r>
      <w:r w:rsidR="00256AD0">
        <w:rPr>
          <w:rFonts w:ascii="Times New Roman" w:hAnsi="Times New Roman" w:cs="Times New Roman"/>
          <w:sz w:val="24"/>
          <w:szCs w:val="24"/>
        </w:rPr>
        <w:t>a</w:t>
      </w:r>
      <w:r w:rsidR="00F0713D">
        <w:rPr>
          <w:rFonts w:ascii="Times New Roman" w:hAnsi="Times New Roman" w:cs="Times New Roman"/>
          <w:sz w:val="24"/>
          <w:szCs w:val="24"/>
        </w:rPr>
        <w:t xml:space="preserve"> (ou em risco de ser violad</w:t>
      </w:r>
      <w:r w:rsidR="00256AD0">
        <w:rPr>
          <w:rFonts w:ascii="Times New Roman" w:hAnsi="Times New Roman" w:cs="Times New Roman"/>
          <w:sz w:val="24"/>
          <w:szCs w:val="24"/>
        </w:rPr>
        <w:t>a</w:t>
      </w:r>
      <w:r w:rsidR="00F0713D">
        <w:rPr>
          <w:rFonts w:ascii="Times New Roman" w:hAnsi="Times New Roman" w:cs="Times New Roman"/>
          <w:sz w:val="24"/>
          <w:szCs w:val="24"/>
        </w:rPr>
        <w:t>) a proibição de tortura, tratamentos humanos ou degradantes (art. 4º da Carta de Direitos Fundamentais da UE), dada a sua natureza absoluta</w:t>
      </w:r>
      <w:r w:rsidR="00F0713D">
        <w:rPr>
          <w:rStyle w:val="Refdenotaalpie"/>
          <w:rFonts w:ascii="Times New Roman" w:hAnsi="Times New Roman" w:cs="Times New Roman"/>
          <w:sz w:val="24"/>
          <w:szCs w:val="24"/>
        </w:rPr>
        <w:footnoteReference w:id="41"/>
      </w:r>
      <w:r w:rsidR="00F0713D">
        <w:rPr>
          <w:rFonts w:ascii="Times New Roman" w:hAnsi="Times New Roman" w:cs="Times New Roman"/>
          <w:sz w:val="24"/>
          <w:szCs w:val="24"/>
        </w:rPr>
        <w:t>.</w:t>
      </w:r>
    </w:p>
    <w:p w14:paraId="3BADAEE0" w14:textId="093A1672" w:rsidR="00FC29C0" w:rsidRDefault="00FC29C0" w:rsidP="003E01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Através deste exemplo podemos </w:t>
      </w:r>
      <w:r w:rsidR="00362374">
        <w:rPr>
          <w:rFonts w:ascii="Times New Roman" w:hAnsi="Times New Roman" w:cs="Times New Roman"/>
          <w:sz w:val="24"/>
          <w:szCs w:val="24"/>
        </w:rPr>
        <w:t xml:space="preserve">retirar o verdadeiro efeito prático dos valores considerados comuns e que formam o núcleo intocável da identidade constitucional da UE: devido à sua natureza fundamental (e ao entendimento de que todos os EM com quem cooperamos adoptam e respeitam esses mesmos valores), a confiança mútua dependerá efectivamente desse respeito e da manutenção desses valores enquanto manifestação essencial da identidade constitucional de cada EM. Esses são os limites que a UE estabelece para os EM, e são também os limites que os EM se impõem mutuamente para que possam aproveitar de modo pleno as </w:t>
      </w:r>
      <w:r w:rsidR="007B5257">
        <w:rPr>
          <w:rFonts w:ascii="Times New Roman" w:hAnsi="Times New Roman" w:cs="Times New Roman"/>
          <w:sz w:val="24"/>
          <w:szCs w:val="24"/>
        </w:rPr>
        <w:t xml:space="preserve">vantagens da sua pertença à UE. </w:t>
      </w:r>
      <w:r w:rsidR="00DB24FE">
        <w:rPr>
          <w:rFonts w:ascii="Times New Roman" w:hAnsi="Times New Roman" w:cs="Times New Roman"/>
          <w:sz w:val="24"/>
          <w:szCs w:val="24"/>
        </w:rPr>
        <w:t>Isso permite-nos concluir que uma identidade nacional que se afaste demasiado desse núcleo axiológico, se não corrigida, será considerada incompatível com a UE e com aquilo que esta representa</w:t>
      </w:r>
      <w:r w:rsidR="00DB24FE">
        <w:rPr>
          <w:rStyle w:val="Refdenotaalpie"/>
          <w:rFonts w:ascii="Times New Roman" w:hAnsi="Times New Roman" w:cs="Times New Roman"/>
          <w:sz w:val="24"/>
          <w:szCs w:val="24"/>
        </w:rPr>
        <w:footnoteReference w:id="42"/>
      </w:r>
      <w:r w:rsidR="00DB24FE">
        <w:rPr>
          <w:rFonts w:ascii="Times New Roman" w:hAnsi="Times New Roman" w:cs="Times New Roman"/>
          <w:sz w:val="24"/>
          <w:szCs w:val="24"/>
        </w:rPr>
        <w:t xml:space="preserve"> – esta é, simultaneamente, a influência europeia e o limite que impõe às identidades constitucionais nacionais. </w:t>
      </w:r>
    </w:p>
    <w:p w14:paraId="665D4EAE" w14:textId="77777777" w:rsidR="00500E29" w:rsidRDefault="00500E29" w:rsidP="003E014A">
      <w:pPr>
        <w:spacing w:after="0" w:line="240" w:lineRule="auto"/>
        <w:ind w:firstLine="708"/>
        <w:jc w:val="both"/>
        <w:rPr>
          <w:rFonts w:ascii="Times New Roman" w:hAnsi="Times New Roman" w:cs="Times New Roman"/>
          <w:sz w:val="24"/>
          <w:szCs w:val="24"/>
        </w:rPr>
      </w:pPr>
    </w:p>
    <w:p w14:paraId="3807640B" w14:textId="44542ECF" w:rsidR="00500E29" w:rsidRDefault="002B3CBD" w:rsidP="007A4D3C">
      <w:pPr>
        <w:pStyle w:val="Prrafodelista"/>
        <w:numPr>
          <w:ilvl w:val="2"/>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 identidade constitucional nacional incompatível e a cooperação judiciária – sugestões de mudança</w:t>
      </w:r>
    </w:p>
    <w:p w14:paraId="197185F7" w14:textId="67C9B0A1" w:rsidR="002B3CBD" w:rsidRDefault="002C4072" w:rsidP="002B3C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primeira sugestão encontra-se relacionada com a jurisdição do TJUE.</w:t>
      </w:r>
      <w:r w:rsidR="003B5F92">
        <w:rPr>
          <w:rFonts w:ascii="Times New Roman" w:hAnsi="Times New Roman" w:cs="Times New Roman"/>
          <w:sz w:val="24"/>
          <w:szCs w:val="24"/>
        </w:rPr>
        <w:t xml:space="preserve"> </w:t>
      </w:r>
      <w:r w:rsidR="006E5F85">
        <w:rPr>
          <w:rFonts w:ascii="Times New Roman" w:hAnsi="Times New Roman" w:cs="Times New Roman"/>
          <w:sz w:val="24"/>
          <w:szCs w:val="24"/>
        </w:rPr>
        <w:t>A</w:t>
      </w:r>
      <w:r w:rsidR="003B5F92">
        <w:rPr>
          <w:rFonts w:ascii="Times New Roman" w:hAnsi="Times New Roman" w:cs="Times New Roman"/>
          <w:sz w:val="24"/>
          <w:szCs w:val="24"/>
        </w:rPr>
        <w:t xml:space="preserve"> jurisdição judicativa do TJUE </w:t>
      </w:r>
      <w:r w:rsidR="00027C6F">
        <w:rPr>
          <w:rFonts w:ascii="Times New Roman" w:hAnsi="Times New Roman" w:cs="Times New Roman"/>
          <w:sz w:val="24"/>
          <w:szCs w:val="24"/>
        </w:rPr>
        <w:t>em</w:t>
      </w:r>
      <w:r w:rsidR="003B5F92">
        <w:rPr>
          <w:rFonts w:ascii="Times New Roman" w:hAnsi="Times New Roman" w:cs="Times New Roman"/>
          <w:sz w:val="24"/>
          <w:szCs w:val="24"/>
        </w:rPr>
        <w:t xml:space="preserve"> matéria</w:t>
      </w:r>
      <w:r w:rsidR="00027C6F">
        <w:rPr>
          <w:rFonts w:ascii="Times New Roman" w:hAnsi="Times New Roman" w:cs="Times New Roman"/>
          <w:sz w:val="24"/>
          <w:szCs w:val="24"/>
        </w:rPr>
        <w:t xml:space="preserve"> penal</w:t>
      </w:r>
      <w:r w:rsidR="003B5F92">
        <w:rPr>
          <w:rFonts w:ascii="Times New Roman" w:hAnsi="Times New Roman" w:cs="Times New Roman"/>
          <w:sz w:val="24"/>
          <w:szCs w:val="24"/>
        </w:rPr>
        <w:t xml:space="preserve"> encontra-se limitada</w:t>
      </w:r>
      <w:r w:rsidR="00027C6F">
        <w:rPr>
          <w:rFonts w:ascii="Times New Roman" w:hAnsi="Times New Roman" w:cs="Times New Roman"/>
          <w:sz w:val="24"/>
          <w:szCs w:val="24"/>
        </w:rPr>
        <w:t>: o seu maior impacto neste âmbito advém da sua jurisprudência resultante de pedidos de interpretação prejudicial, em que irá interpretar actos das instituições, órgãos</w:t>
      </w:r>
      <w:r w:rsidR="00217941">
        <w:rPr>
          <w:rFonts w:ascii="Times New Roman" w:hAnsi="Times New Roman" w:cs="Times New Roman"/>
          <w:sz w:val="24"/>
          <w:szCs w:val="24"/>
        </w:rPr>
        <w:t xml:space="preserve"> ou</w:t>
      </w:r>
      <w:r w:rsidR="00027C6F">
        <w:rPr>
          <w:rFonts w:ascii="Times New Roman" w:hAnsi="Times New Roman" w:cs="Times New Roman"/>
          <w:sz w:val="24"/>
          <w:szCs w:val="24"/>
        </w:rPr>
        <w:t xml:space="preserve"> organismos</w:t>
      </w:r>
      <w:r w:rsidR="00217941">
        <w:rPr>
          <w:rFonts w:ascii="Times New Roman" w:hAnsi="Times New Roman" w:cs="Times New Roman"/>
          <w:sz w:val="24"/>
          <w:szCs w:val="24"/>
        </w:rPr>
        <w:t xml:space="preserve"> da União (art. 267º TFUE), ou ainda decidir sobre a compatibilidade de actos legislativos nacionais com (e à luz da) legislação europeia. </w:t>
      </w:r>
      <w:r w:rsidR="00B03634">
        <w:rPr>
          <w:rFonts w:ascii="Times New Roman" w:hAnsi="Times New Roman" w:cs="Times New Roman"/>
          <w:sz w:val="24"/>
          <w:szCs w:val="24"/>
        </w:rPr>
        <w:t>Devido aos limites existentes para recorrer ao TJUE em tais situações – nomeadamente, o recurso ao TJUE pode não ser obrigatório</w:t>
      </w:r>
      <w:r w:rsidR="0079466C">
        <w:rPr>
          <w:rStyle w:val="Refdenotaalpie"/>
          <w:rFonts w:ascii="Times New Roman" w:hAnsi="Times New Roman" w:cs="Times New Roman"/>
          <w:sz w:val="24"/>
          <w:szCs w:val="24"/>
        </w:rPr>
        <w:footnoteReference w:id="43"/>
      </w:r>
      <w:r w:rsidR="00B03634">
        <w:rPr>
          <w:rFonts w:ascii="Times New Roman" w:hAnsi="Times New Roman" w:cs="Times New Roman"/>
          <w:sz w:val="24"/>
          <w:szCs w:val="24"/>
        </w:rPr>
        <w:t xml:space="preserve"> e o facto </w:t>
      </w:r>
      <w:r w:rsidR="00B03634">
        <w:rPr>
          <w:rFonts w:ascii="Times New Roman" w:hAnsi="Times New Roman" w:cs="Times New Roman"/>
          <w:sz w:val="24"/>
          <w:szCs w:val="24"/>
        </w:rPr>
        <w:lastRenderedPageBreak/>
        <w:t xml:space="preserve">de que o julgamento desse Tribunal não irá efectivamente decidir </w:t>
      </w:r>
      <w:r w:rsidR="0079466C">
        <w:rPr>
          <w:rFonts w:ascii="Times New Roman" w:hAnsi="Times New Roman" w:cs="Times New Roman"/>
          <w:sz w:val="24"/>
          <w:szCs w:val="24"/>
        </w:rPr>
        <w:t>o caso nacional que originou o pedido de interpretação</w:t>
      </w:r>
      <w:r w:rsidR="0079466C">
        <w:rPr>
          <w:rStyle w:val="Refdenotaalpie"/>
          <w:rFonts w:ascii="Times New Roman" w:hAnsi="Times New Roman" w:cs="Times New Roman"/>
          <w:sz w:val="24"/>
          <w:szCs w:val="24"/>
        </w:rPr>
        <w:footnoteReference w:id="44"/>
      </w:r>
      <w:r w:rsidR="0079466C">
        <w:rPr>
          <w:rFonts w:ascii="Times New Roman" w:hAnsi="Times New Roman" w:cs="Times New Roman"/>
          <w:sz w:val="24"/>
          <w:szCs w:val="24"/>
        </w:rPr>
        <w:t xml:space="preserve"> – a jurisdição judicativa europeia pode ser considerada incompleta, já que não determina, em absoluto, a conclusão a que o Tribunal nacional deve chegar</w:t>
      </w:r>
      <w:r w:rsidR="0079466C">
        <w:rPr>
          <w:rStyle w:val="Refdenotaalpie"/>
          <w:rFonts w:ascii="Times New Roman" w:hAnsi="Times New Roman" w:cs="Times New Roman"/>
          <w:sz w:val="24"/>
          <w:szCs w:val="24"/>
        </w:rPr>
        <w:footnoteReference w:id="45"/>
      </w:r>
      <w:r w:rsidR="0079466C">
        <w:rPr>
          <w:rFonts w:ascii="Times New Roman" w:hAnsi="Times New Roman" w:cs="Times New Roman"/>
          <w:sz w:val="24"/>
          <w:szCs w:val="24"/>
        </w:rPr>
        <w:t>.</w:t>
      </w:r>
    </w:p>
    <w:p w14:paraId="7169F172" w14:textId="30A541ED" w:rsidR="00530EDF" w:rsidRDefault="00EB156F" w:rsidP="00530E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É incontestável que o Direito Penal e, consequentemente, os mecanismos dirigidos a facilitar a sujeição dos indivíduos ao mesmo (como o MDE), afecta</w:t>
      </w:r>
      <w:r w:rsidR="00B753B0">
        <w:rPr>
          <w:rFonts w:ascii="Times New Roman" w:hAnsi="Times New Roman" w:cs="Times New Roman"/>
          <w:sz w:val="24"/>
          <w:szCs w:val="24"/>
        </w:rPr>
        <w:t>m</w:t>
      </w:r>
      <w:r>
        <w:rPr>
          <w:rFonts w:ascii="Times New Roman" w:hAnsi="Times New Roman" w:cs="Times New Roman"/>
          <w:sz w:val="24"/>
          <w:szCs w:val="24"/>
        </w:rPr>
        <w:t xml:space="preserve"> de forma particularmente incisiva os direitos fundamentais dos sujeitos</w:t>
      </w:r>
      <w:r w:rsidR="00B753B0">
        <w:rPr>
          <w:rFonts w:ascii="Times New Roman" w:hAnsi="Times New Roman" w:cs="Times New Roman"/>
          <w:sz w:val="24"/>
          <w:szCs w:val="24"/>
        </w:rPr>
        <w:t>. Por esse motivo, deveria ser previsto um novo mecanismo que permitisse aos indivíduos recorrer ao TJUE em caso de</w:t>
      </w:r>
      <w:r w:rsidR="00530EDF">
        <w:rPr>
          <w:rFonts w:ascii="Times New Roman" w:hAnsi="Times New Roman" w:cs="Times New Roman"/>
          <w:sz w:val="24"/>
          <w:szCs w:val="24"/>
        </w:rPr>
        <w:t xml:space="preserve"> alegação da</w:t>
      </w:r>
      <w:r w:rsidR="00B753B0">
        <w:rPr>
          <w:rFonts w:ascii="Times New Roman" w:hAnsi="Times New Roman" w:cs="Times New Roman"/>
          <w:sz w:val="24"/>
          <w:szCs w:val="24"/>
        </w:rPr>
        <w:t xml:space="preserve"> violação dos direitos fundamentais garantidos pela UE,</w:t>
      </w:r>
      <w:r w:rsidR="00530EDF">
        <w:rPr>
          <w:rFonts w:ascii="Times New Roman" w:hAnsi="Times New Roman" w:cs="Times New Roman"/>
          <w:sz w:val="24"/>
          <w:szCs w:val="24"/>
        </w:rPr>
        <w:t xml:space="preserve"> derivada da aplicação de Direito da União,</w:t>
      </w:r>
      <w:r w:rsidR="00B753B0">
        <w:rPr>
          <w:rFonts w:ascii="Times New Roman" w:hAnsi="Times New Roman" w:cs="Times New Roman"/>
          <w:sz w:val="24"/>
          <w:szCs w:val="24"/>
        </w:rPr>
        <w:t xml:space="preserve"> não ficando assim na dependência exclusiva da vontade dos seus Tribunais nacionais</w:t>
      </w:r>
      <w:r w:rsidR="003B5F92">
        <w:rPr>
          <w:rFonts w:ascii="Times New Roman" w:hAnsi="Times New Roman" w:cs="Times New Roman"/>
          <w:sz w:val="24"/>
          <w:szCs w:val="24"/>
        </w:rPr>
        <w:t xml:space="preserve">. </w:t>
      </w:r>
      <w:r w:rsidR="00530EDF">
        <w:rPr>
          <w:rFonts w:ascii="Times New Roman" w:hAnsi="Times New Roman" w:cs="Times New Roman"/>
          <w:sz w:val="24"/>
          <w:szCs w:val="24"/>
        </w:rPr>
        <w:t>De momento, essa alegação pode apenas ser feita no âmbito dos processos</w:t>
      </w:r>
      <w:r w:rsidR="006E5F85">
        <w:rPr>
          <w:rFonts w:ascii="Times New Roman" w:hAnsi="Times New Roman" w:cs="Times New Roman"/>
          <w:sz w:val="24"/>
          <w:szCs w:val="24"/>
        </w:rPr>
        <w:t xml:space="preserve"> de MDE</w:t>
      </w:r>
      <w:r w:rsidR="00530EDF">
        <w:rPr>
          <w:rFonts w:ascii="Times New Roman" w:hAnsi="Times New Roman" w:cs="Times New Roman"/>
          <w:sz w:val="24"/>
          <w:szCs w:val="24"/>
        </w:rPr>
        <w:t xml:space="preserve"> ou, quando possível, perante o TEDH, quando os Tribunais nacionais não referem uma questão ao TJUE e o </w:t>
      </w:r>
      <w:r w:rsidR="002C4072">
        <w:rPr>
          <w:rFonts w:ascii="Times New Roman" w:hAnsi="Times New Roman" w:cs="Times New Roman"/>
          <w:sz w:val="24"/>
          <w:szCs w:val="24"/>
        </w:rPr>
        <w:t>devessem</w:t>
      </w:r>
      <w:r w:rsidR="00530EDF">
        <w:rPr>
          <w:rFonts w:ascii="Times New Roman" w:hAnsi="Times New Roman" w:cs="Times New Roman"/>
          <w:sz w:val="24"/>
          <w:szCs w:val="24"/>
        </w:rPr>
        <w:t xml:space="preserve"> fazer (assim suscitando uma potencial violação do direito a um julgamento justo – art. 6º CEDH), ou quando o direito violado também é protegido pela CEDH. </w:t>
      </w:r>
      <w:r w:rsidR="002C4072">
        <w:rPr>
          <w:rFonts w:ascii="Times New Roman" w:hAnsi="Times New Roman" w:cs="Times New Roman"/>
          <w:sz w:val="24"/>
          <w:szCs w:val="24"/>
        </w:rPr>
        <w:t>A</w:t>
      </w:r>
      <w:r w:rsidR="00444593">
        <w:rPr>
          <w:rFonts w:ascii="Times New Roman" w:hAnsi="Times New Roman" w:cs="Times New Roman"/>
          <w:sz w:val="24"/>
          <w:szCs w:val="24"/>
        </w:rPr>
        <w:t xml:space="preserve"> previsão de um recurso directo ao TJUE por parte do indivíduo afectado </w:t>
      </w:r>
      <w:r w:rsidR="002C4072">
        <w:rPr>
          <w:rFonts w:ascii="Times New Roman" w:hAnsi="Times New Roman" w:cs="Times New Roman"/>
          <w:sz w:val="24"/>
          <w:szCs w:val="24"/>
        </w:rPr>
        <w:t>mostrar-se-á</w:t>
      </w:r>
      <w:r w:rsidR="00444593">
        <w:rPr>
          <w:rFonts w:ascii="Times New Roman" w:hAnsi="Times New Roman" w:cs="Times New Roman"/>
          <w:sz w:val="24"/>
          <w:szCs w:val="24"/>
        </w:rPr>
        <w:t xml:space="preserve"> cada vez mais necessári</w:t>
      </w:r>
      <w:r w:rsidR="002C4072">
        <w:rPr>
          <w:rFonts w:ascii="Times New Roman" w:hAnsi="Times New Roman" w:cs="Times New Roman"/>
          <w:sz w:val="24"/>
          <w:szCs w:val="24"/>
        </w:rPr>
        <w:t>a</w:t>
      </w:r>
      <w:r w:rsidR="00444593">
        <w:rPr>
          <w:rFonts w:ascii="Times New Roman" w:hAnsi="Times New Roman" w:cs="Times New Roman"/>
          <w:sz w:val="24"/>
          <w:szCs w:val="24"/>
        </w:rPr>
        <w:t xml:space="preserve">, </w:t>
      </w:r>
      <w:r w:rsidR="002A473F">
        <w:rPr>
          <w:rFonts w:ascii="Times New Roman" w:hAnsi="Times New Roman" w:cs="Times New Roman"/>
          <w:sz w:val="24"/>
          <w:szCs w:val="24"/>
        </w:rPr>
        <w:t>à medida que a UE interfere em mais aspectos do processo penal ou da responsabilidade penal individual</w:t>
      </w:r>
      <w:r w:rsidR="002A473F">
        <w:rPr>
          <w:rStyle w:val="Refdenotaalpie"/>
          <w:rFonts w:ascii="Times New Roman" w:hAnsi="Times New Roman" w:cs="Times New Roman"/>
          <w:sz w:val="24"/>
          <w:szCs w:val="24"/>
        </w:rPr>
        <w:footnoteReference w:id="46"/>
      </w:r>
      <w:r w:rsidR="002A473F">
        <w:rPr>
          <w:rFonts w:ascii="Times New Roman" w:hAnsi="Times New Roman" w:cs="Times New Roman"/>
          <w:sz w:val="24"/>
          <w:szCs w:val="24"/>
        </w:rPr>
        <w:t>.</w:t>
      </w:r>
    </w:p>
    <w:p w14:paraId="2B573BB1" w14:textId="1352F474" w:rsidR="006D22BB" w:rsidRPr="004F3F2A" w:rsidRDefault="00A66711" w:rsidP="00530E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Poderia haver uma outra possibilidade, neste caso: o acesso directo do indivíduo ao TJUE através do recurso de anulação previsto no art. 263</w:t>
      </w:r>
      <w:r w:rsidR="004F3F2A">
        <w:rPr>
          <w:rFonts w:ascii="Times New Roman" w:hAnsi="Times New Roman" w:cs="Times New Roman"/>
          <w:sz w:val="24"/>
          <w:szCs w:val="24"/>
        </w:rPr>
        <w:t>º</w:t>
      </w:r>
      <w:r>
        <w:rPr>
          <w:rFonts w:ascii="Times New Roman" w:hAnsi="Times New Roman" w:cs="Times New Roman"/>
          <w:sz w:val="24"/>
          <w:szCs w:val="24"/>
        </w:rPr>
        <w:t xml:space="preserve"> TFUE. </w:t>
      </w:r>
      <w:r w:rsidR="00AD7A1D">
        <w:rPr>
          <w:rFonts w:ascii="Times New Roman" w:hAnsi="Times New Roman" w:cs="Times New Roman"/>
          <w:sz w:val="24"/>
          <w:szCs w:val="24"/>
        </w:rPr>
        <w:t>Esta possibilidade levanta algumas questões, dado que o MDE é um acto de um EM dirigido a outro EM. No entanto, é o próprio art. 263</w:t>
      </w:r>
      <w:r w:rsidR="004F3F2A">
        <w:rPr>
          <w:rFonts w:ascii="Times New Roman" w:hAnsi="Times New Roman" w:cs="Times New Roman"/>
          <w:sz w:val="24"/>
          <w:szCs w:val="24"/>
        </w:rPr>
        <w:t>º, nº 4</w:t>
      </w:r>
      <w:r w:rsidR="00AD7A1D">
        <w:rPr>
          <w:rFonts w:ascii="Times New Roman" w:hAnsi="Times New Roman" w:cs="Times New Roman"/>
          <w:sz w:val="24"/>
          <w:szCs w:val="24"/>
        </w:rPr>
        <w:t xml:space="preserve"> que permite a um indivíduo recorrer ao TJUE quando o acto é dirigido a ele </w:t>
      </w:r>
      <w:r w:rsidR="00AD7A1D">
        <w:rPr>
          <w:rFonts w:ascii="Times New Roman" w:hAnsi="Times New Roman" w:cs="Times New Roman"/>
          <w:i/>
          <w:iCs/>
          <w:sz w:val="24"/>
          <w:szCs w:val="24"/>
        </w:rPr>
        <w:t xml:space="preserve">ou </w:t>
      </w:r>
      <w:r w:rsidR="00AD7A1D">
        <w:rPr>
          <w:rFonts w:ascii="Times New Roman" w:hAnsi="Times New Roman" w:cs="Times New Roman"/>
          <w:sz w:val="24"/>
          <w:szCs w:val="24"/>
        </w:rPr>
        <w:t>quando directa e individualmente o afecta (o que seria, neste caso, incontestável</w:t>
      </w:r>
      <w:r w:rsidR="004F3F2A">
        <w:rPr>
          <w:rFonts w:ascii="Times New Roman" w:hAnsi="Times New Roman" w:cs="Times New Roman"/>
          <w:sz w:val="24"/>
          <w:szCs w:val="24"/>
        </w:rPr>
        <w:t xml:space="preserve"> – permitindo assim ultrapassar a doutrina do Ac. </w:t>
      </w:r>
      <w:r w:rsidR="004F3F2A">
        <w:rPr>
          <w:rFonts w:ascii="Times New Roman" w:hAnsi="Times New Roman" w:cs="Times New Roman"/>
          <w:i/>
          <w:iCs/>
          <w:sz w:val="24"/>
          <w:szCs w:val="24"/>
        </w:rPr>
        <w:t>Plaumann</w:t>
      </w:r>
      <w:r w:rsidR="004F3F2A">
        <w:rPr>
          <w:rStyle w:val="Refdenotaalpie"/>
          <w:rFonts w:ascii="Times New Roman" w:hAnsi="Times New Roman" w:cs="Times New Roman"/>
          <w:i/>
          <w:iCs/>
          <w:sz w:val="24"/>
          <w:szCs w:val="24"/>
        </w:rPr>
        <w:footnoteReference w:id="47"/>
      </w:r>
      <w:r w:rsidR="00AD7A1D">
        <w:rPr>
          <w:rFonts w:ascii="Times New Roman" w:hAnsi="Times New Roman" w:cs="Times New Roman"/>
          <w:sz w:val="24"/>
          <w:szCs w:val="24"/>
        </w:rPr>
        <w:t>). Mas existem, para além disso, os requisitos mencionados no nº 1 e 2 do art. 263º.</w:t>
      </w:r>
      <w:r w:rsidR="002560FB">
        <w:rPr>
          <w:rFonts w:ascii="Times New Roman" w:hAnsi="Times New Roman" w:cs="Times New Roman"/>
          <w:sz w:val="24"/>
          <w:szCs w:val="24"/>
        </w:rPr>
        <w:t xml:space="preserve"> Se o acto tem um efeito indubitável na esfera do indivíduo afectado pelo MDE, o facto de ser um “acto de um órgã</w:t>
      </w:r>
      <w:r w:rsidR="002B2466">
        <w:rPr>
          <w:rFonts w:ascii="Times New Roman" w:hAnsi="Times New Roman" w:cs="Times New Roman"/>
          <w:sz w:val="24"/>
          <w:szCs w:val="24"/>
        </w:rPr>
        <w:t>o ou organismo da UE” poderia, à primeira vista, afastar a competência do Tribunal. Mas uma perspectiva assim formalista não terá em conta que os Tribunais nacionais, quando aplicam Direito da União Europeia, são considerados “Tribunais comuns em matéria de Direito da UE”</w:t>
      </w:r>
      <w:r w:rsidR="002B2466">
        <w:rPr>
          <w:rStyle w:val="Refdenotaalpie"/>
          <w:rFonts w:ascii="Times New Roman" w:hAnsi="Times New Roman" w:cs="Times New Roman"/>
          <w:sz w:val="24"/>
          <w:szCs w:val="24"/>
        </w:rPr>
        <w:footnoteReference w:id="48"/>
      </w:r>
      <w:r w:rsidR="002B2466">
        <w:rPr>
          <w:rFonts w:ascii="Times New Roman" w:hAnsi="Times New Roman" w:cs="Times New Roman"/>
          <w:sz w:val="24"/>
          <w:szCs w:val="24"/>
        </w:rPr>
        <w:t xml:space="preserve"> e portanto, fazem parte da estrutura da UE na defesa e aplicação da sua legislação (art. 4º, nº 3 TUE), preenchendo </w:t>
      </w:r>
      <w:r w:rsidR="007B0A08">
        <w:rPr>
          <w:rFonts w:ascii="Times New Roman" w:hAnsi="Times New Roman" w:cs="Times New Roman"/>
          <w:sz w:val="24"/>
          <w:szCs w:val="24"/>
        </w:rPr>
        <w:t>então também</w:t>
      </w:r>
      <w:r w:rsidR="002B2466">
        <w:rPr>
          <w:rFonts w:ascii="Times New Roman" w:hAnsi="Times New Roman" w:cs="Times New Roman"/>
          <w:sz w:val="24"/>
          <w:szCs w:val="24"/>
        </w:rPr>
        <w:t xml:space="preserve"> esta condição. Já relativamente ao facto de a sentença do Tribunal nacional (que concede o MDE apesar do risco de violação de um direito fundamental) </w:t>
      </w:r>
      <w:r w:rsidR="00C91281">
        <w:rPr>
          <w:rFonts w:ascii="Times New Roman" w:hAnsi="Times New Roman" w:cs="Times New Roman"/>
          <w:sz w:val="24"/>
          <w:szCs w:val="24"/>
        </w:rPr>
        <w:t xml:space="preserve">“infringir os </w:t>
      </w:r>
      <w:r w:rsidR="00C91281">
        <w:rPr>
          <w:rFonts w:ascii="Times New Roman" w:hAnsi="Times New Roman" w:cs="Times New Roman"/>
          <w:sz w:val="24"/>
          <w:szCs w:val="24"/>
        </w:rPr>
        <w:lastRenderedPageBreak/>
        <w:t>Tratados ou qualquer outra norma relacionada com a sua aplicação” (art. 263º, nº 2 TFUE), tanto a Carta de Direitos Fundamentais da UE quanto a DQ MDE são susceptíveis de a preencher. Por estes motivos, deveria ser possível aos indivíduos recorrer ao TJUE pedindo a anulação da sentença nacional que concede o MDE</w:t>
      </w:r>
      <w:r w:rsidR="00814964">
        <w:rPr>
          <w:rFonts w:ascii="Times New Roman" w:hAnsi="Times New Roman" w:cs="Times New Roman"/>
          <w:sz w:val="24"/>
          <w:szCs w:val="24"/>
        </w:rPr>
        <w:t xml:space="preserve"> nestas circunstâncias</w:t>
      </w:r>
      <w:r w:rsidR="001D5C40">
        <w:rPr>
          <w:rStyle w:val="Refdenotaalpie"/>
          <w:rFonts w:ascii="Times New Roman" w:hAnsi="Times New Roman" w:cs="Times New Roman"/>
          <w:sz w:val="24"/>
          <w:szCs w:val="24"/>
        </w:rPr>
        <w:footnoteReference w:id="49"/>
      </w:r>
      <w:r w:rsidR="00814964">
        <w:rPr>
          <w:rFonts w:ascii="Times New Roman" w:hAnsi="Times New Roman" w:cs="Times New Roman"/>
          <w:sz w:val="24"/>
          <w:szCs w:val="24"/>
        </w:rPr>
        <w:t>.</w:t>
      </w:r>
    </w:p>
    <w:p w14:paraId="3370C0C0" w14:textId="72256631" w:rsidR="00555080" w:rsidRDefault="004F25DD" w:rsidP="004F25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segunda sugestão prende-se com a modificação do teste actualmente empregue pelo TJUE para avaliar da violação prospectiva de direitos fundamentais. Apesar de inicialmente se aproxima</w:t>
      </w:r>
      <w:r w:rsidR="007B0A08">
        <w:rPr>
          <w:rFonts w:ascii="Times New Roman" w:hAnsi="Times New Roman" w:cs="Times New Roman"/>
          <w:sz w:val="24"/>
          <w:szCs w:val="24"/>
        </w:rPr>
        <w:t>r</w:t>
      </w:r>
      <w:r>
        <w:rPr>
          <w:rFonts w:ascii="Times New Roman" w:hAnsi="Times New Roman" w:cs="Times New Roman"/>
          <w:sz w:val="24"/>
          <w:szCs w:val="24"/>
        </w:rPr>
        <w:t xml:space="preserve"> da jurisprudência do TEDH na avaliação do impacto da cooperação judiciária </w:t>
      </w:r>
      <w:r w:rsidR="0083673F">
        <w:rPr>
          <w:rFonts w:ascii="Times New Roman" w:hAnsi="Times New Roman" w:cs="Times New Roman"/>
          <w:sz w:val="24"/>
          <w:szCs w:val="24"/>
        </w:rPr>
        <w:t>na protecção dos direitos fundamentais</w:t>
      </w:r>
      <w:r w:rsidR="0083673F">
        <w:rPr>
          <w:rStyle w:val="Refdenotaalpie"/>
          <w:rFonts w:ascii="Times New Roman" w:hAnsi="Times New Roman" w:cs="Times New Roman"/>
          <w:sz w:val="24"/>
          <w:szCs w:val="24"/>
        </w:rPr>
        <w:footnoteReference w:id="50"/>
      </w:r>
      <w:r w:rsidR="006D22CB">
        <w:rPr>
          <w:rFonts w:ascii="Times New Roman" w:hAnsi="Times New Roman" w:cs="Times New Roman"/>
          <w:sz w:val="24"/>
          <w:szCs w:val="24"/>
        </w:rPr>
        <w:t xml:space="preserve">, a sua inflexível afirmação de que seria necessário verificarem-se, num primeiro momento, deficiências generalizadas </w:t>
      </w:r>
      <w:r w:rsidR="00D31CC4">
        <w:rPr>
          <w:rFonts w:ascii="Times New Roman" w:hAnsi="Times New Roman" w:cs="Times New Roman"/>
          <w:sz w:val="24"/>
          <w:szCs w:val="24"/>
        </w:rPr>
        <w:t>no EM em causa fazia com que pudessem efectivamente sobrevir violações aos direitos fundamentais</w:t>
      </w:r>
      <w:r w:rsidR="00D31CC4">
        <w:rPr>
          <w:rStyle w:val="Refdenotaalpie"/>
          <w:rFonts w:ascii="Times New Roman" w:hAnsi="Times New Roman" w:cs="Times New Roman"/>
          <w:sz w:val="24"/>
          <w:szCs w:val="24"/>
        </w:rPr>
        <w:footnoteReference w:id="51"/>
      </w:r>
      <w:r w:rsidR="00D31CC4">
        <w:rPr>
          <w:rFonts w:ascii="Times New Roman" w:hAnsi="Times New Roman" w:cs="Times New Roman"/>
          <w:sz w:val="24"/>
          <w:szCs w:val="24"/>
        </w:rPr>
        <w:t>.</w:t>
      </w:r>
      <w:r w:rsidR="00AE1E18">
        <w:rPr>
          <w:rFonts w:ascii="Times New Roman" w:hAnsi="Times New Roman" w:cs="Times New Roman"/>
          <w:sz w:val="24"/>
          <w:szCs w:val="24"/>
        </w:rPr>
        <w:t xml:space="preserve"> Foi apenas com o caso </w:t>
      </w:r>
      <w:r w:rsidR="00AE1E18">
        <w:rPr>
          <w:rFonts w:ascii="Times New Roman" w:hAnsi="Times New Roman" w:cs="Times New Roman"/>
          <w:i/>
          <w:iCs/>
          <w:sz w:val="24"/>
          <w:szCs w:val="24"/>
        </w:rPr>
        <w:t xml:space="preserve">EDL </w:t>
      </w:r>
      <w:r w:rsidR="00AE1E18">
        <w:rPr>
          <w:rFonts w:ascii="Times New Roman" w:hAnsi="Times New Roman" w:cs="Times New Roman"/>
          <w:sz w:val="24"/>
          <w:szCs w:val="24"/>
        </w:rPr>
        <w:t>que esta conclusão foi algo modificada, concluindo o Tribunal que seria suficiente, para recusa da cooperação, o facto de existir um risco individual de violação dos direitos fundamentais no EM de emissão</w:t>
      </w:r>
      <w:r w:rsidR="00AE1E18">
        <w:rPr>
          <w:rStyle w:val="Refdenotaalpie"/>
          <w:rFonts w:ascii="Times New Roman" w:hAnsi="Times New Roman" w:cs="Times New Roman"/>
          <w:sz w:val="24"/>
          <w:szCs w:val="24"/>
        </w:rPr>
        <w:footnoteReference w:id="52"/>
      </w:r>
      <w:r w:rsidR="00AE1E18">
        <w:rPr>
          <w:rFonts w:ascii="Times New Roman" w:hAnsi="Times New Roman" w:cs="Times New Roman"/>
          <w:sz w:val="24"/>
          <w:szCs w:val="24"/>
        </w:rPr>
        <w:t xml:space="preserve"> (assim apoiando-se apenas no segundo passo do teste). </w:t>
      </w:r>
    </w:p>
    <w:p w14:paraId="7A2A1A1F" w14:textId="5441B618" w:rsidR="00AE1E18" w:rsidRDefault="00AE1E18" w:rsidP="004F25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uma mais simples abordagem à questão seria </w:t>
      </w:r>
      <w:r w:rsidR="00257007">
        <w:rPr>
          <w:rFonts w:ascii="Times New Roman" w:hAnsi="Times New Roman" w:cs="Times New Roman"/>
          <w:sz w:val="24"/>
          <w:szCs w:val="24"/>
        </w:rPr>
        <w:t xml:space="preserve">o reconhecimento de que apenas um dos passos poderia ser suficiente para recusar a cooperação: haverá situações em que só existirá um risco individualizado, sem o correspondente défice generalizado no EM; assim como será possível </w:t>
      </w:r>
      <w:r w:rsidR="00475FD6">
        <w:rPr>
          <w:rFonts w:ascii="Times New Roman" w:hAnsi="Times New Roman" w:cs="Times New Roman"/>
          <w:sz w:val="24"/>
          <w:szCs w:val="24"/>
        </w:rPr>
        <w:t>existir uma situação de tal modo deficitária que prescinda da prova relacionada com uma avaliação individual para negar a entrega</w:t>
      </w:r>
      <w:r w:rsidR="00475FD6">
        <w:rPr>
          <w:rStyle w:val="Refdenotaalpie"/>
          <w:rFonts w:ascii="Times New Roman" w:hAnsi="Times New Roman" w:cs="Times New Roman"/>
          <w:sz w:val="24"/>
          <w:szCs w:val="24"/>
        </w:rPr>
        <w:footnoteReference w:id="53"/>
      </w:r>
      <w:r w:rsidR="00475FD6">
        <w:rPr>
          <w:rFonts w:ascii="Times New Roman" w:hAnsi="Times New Roman" w:cs="Times New Roman"/>
          <w:sz w:val="24"/>
          <w:szCs w:val="24"/>
        </w:rPr>
        <w:t>.</w:t>
      </w:r>
    </w:p>
    <w:p w14:paraId="75EB983D" w14:textId="197B2BAD" w:rsidR="004053E5" w:rsidRDefault="004053E5" w:rsidP="004F25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terceira sugestão está intrinsecamente relacionada com o princípio da não discrim</w:t>
      </w:r>
      <w:r w:rsidR="007A66D8">
        <w:rPr>
          <w:rFonts w:ascii="Times New Roman" w:hAnsi="Times New Roman" w:cs="Times New Roman"/>
          <w:sz w:val="24"/>
          <w:szCs w:val="24"/>
        </w:rPr>
        <w:t xml:space="preserve">inação em razão da nacionalidade na UE e o seu entendimento por parte do TJUE no âmbito da cooperação. O caso originário é o de </w:t>
      </w:r>
      <w:r w:rsidR="007A66D8" w:rsidRPr="007A66D8">
        <w:rPr>
          <w:rFonts w:ascii="Times New Roman" w:hAnsi="Times New Roman" w:cs="Times New Roman"/>
          <w:i/>
          <w:iCs/>
          <w:sz w:val="24"/>
          <w:szCs w:val="24"/>
        </w:rPr>
        <w:t>Petruhhin</w:t>
      </w:r>
      <w:r w:rsidR="007A66D8">
        <w:rPr>
          <w:rStyle w:val="Refdenotaalpie"/>
          <w:rFonts w:ascii="Times New Roman" w:hAnsi="Times New Roman" w:cs="Times New Roman"/>
          <w:i/>
          <w:iCs/>
          <w:sz w:val="24"/>
          <w:szCs w:val="24"/>
        </w:rPr>
        <w:footnoteReference w:id="54"/>
      </w:r>
      <w:r w:rsidR="007A66D8">
        <w:rPr>
          <w:rFonts w:ascii="Times New Roman" w:hAnsi="Times New Roman" w:cs="Times New Roman"/>
          <w:sz w:val="24"/>
          <w:szCs w:val="24"/>
        </w:rPr>
        <w:t xml:space="preserve">, mas todos os que se seguiram partilham aspectos em comum: um Estado terceiro requer a extradição de um cidadão da UE a um EM que não é o da sua nacionalidade. Nestas circunstâncias, estabeleceu o TJUE que ao EM de nacionalidade deverá ser concedida a oportunidade de emitir um MDE para julgar os factos que originaram o pedido de extradição, caso em que a cooperação intra-europeia se sobreporia à cooperação para o exterior da mesma. </w:t>
      </w:r>
      <w:r w:rsidR="0075684D">
        <w:rPr>
          <w:rFonts w:ascii="Times New Roman" w:hAnsi="Times New Roman" w:cs="Times New Roman"/>
          <w:sz w:val="24"/>
          <w:szCs w:val="24"/>
        </w:rPr>
        <w:t>No entanto, a emissão de tal MDE nem sempre será legalmente possível</w:t>
      </w:r>
      <w:r w:rsidR="00905890">
        <w:rPr>
          <w:rStyle w:val="Refdenotaalpie"/>
          <w:rFonts w:ascii="Times New Roman" w:hAnsi="Times New Roman" w:cs="Times New Roman"/>
          <w:sz w:val="24"/>
          <w:szCs w:val="24"/>
        </w:rPr>
        <w:footnoteReference w:id="55"/>
      </w:r>
      <w:r w:rsidR="003C2A58">
        <w:rPr>
          <w:rFonts w:ascii="Times New Roman" w:hAnsi="Times New Roman" w:cs="Times New Roman"/>
          <w:sz w:val="24"/>
          <w:szCs w:val="24"/>
        </w:rPr>
        <w:t>, o que faz com que exista uma potencial discriminação quando o EM requerido tenha, no seu ordenamento, uma proibição de extradição dos seus próprios nacionais e jurisdição para julgar o caso no seu território.</w:t>
      </w:r>
    </w:p>
    <w:p w14:paraId="7EE012C0" w14:textId="5401C82C" w:rsidR="003C2A58" w:rsidRDefault="003C2A58" w:rsidP="004F25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conclusão do TJUE é criticável </w:t>
      </w:r>
      <w:r w:rsidR="00AB45E5">
        <w:rPr>
          <w:rFonts w:ascii="Times New Roman" w:hAnsi="Times New Roman" w:cs="Times New Roman"/>
          <w:sz w:val="24"/>
          <w:szCs w:val="24"/>
        </w:rPr>
        <w:t>– principalmente quando se tem em conta que afirmou que “o</w:t>
      </w:r>
      <w:r w:rsidR="00AB45E5" w:rsidRPr="00AB45E5">
        <w:rPr>
          <w:rFonts w:ascii="Times New Roman" w:hAnsi="Times New Roman" w:cs="Times New Roman"/>
          <w:sz w:val="24"/>
          <w:szCs w:val="24"/>
        </w:rPr>
        <w:t xml:space="preserve"> estatuto de cidadão da União tende a ser o estatuto fundamental dos nacionais dos Estados-Membros</w:t>
      </w:r>
      <w:r w:rsidR="00AB45E5">
        <w:rPr>
          <w:rFonts w:ascii="Times New Roman" w:hAnsi="Times New Roman" w:cs="Times New Roman"/>
          <w:sz w:val="24"/>
          <w:szCs w:val="24"/>
        </w:rPr>
        <w:t>”</w:t>
      </w:r>
      <w:r w:rsidR="00AB45E5">
        <w:rPr>
          <w:rStyle w:val="Refdenotaalpie"/>
          <w:rFonts w:ascii="Times New Roman" w:hAnsi="Times New Roman" w:cs="Times New Roman"/>
          <w:sz w:val="24"/>
          <w:szCs w:val="24"/>
        </w:rPr>
        <w:footnoteReference w:id="56"/>
      </w:r>
      <w:r w:rsidR="00AB45E5">
        <w:rPr>
          <w:rFonts w:ascii="Times New Roman" w:hAnsi="Times New Roman" w:cs="Times New Roman"/>
          <w:sz w:val="24"/>
          <w:szCs w:val="24"/>
        </w:rPr>
        <w:t xml:space="preserve"> – </w:t>
      </w:r>
      <w:r>
        <w:rPr>
          <w:rFonts w:ascii="Times New Roman" w:hAnsi="Times New Roman" w:cs="Times New Roman"/>
          <w:sz w:val="24"/>
          <w:szCs w:val="24"/>
        </w:rPr>
        <w:t>também quando em comparação com a sua própria jurisprudência no âmbito dos pedidos de extradição para cumprimento de sentença, caso em que equiparou efectivamente os residentes aos nacionais</w:t>
      </w:r>
      <w:r>
        <w:rPr>
          <w:rStyle w:val="Refdenotaalpie"/>
          <w:rFonts w:ascii="Times New Roman" w:hAnsi="Times New Roman" w:cs="Times New Roman"/>
          <w:sz w:val="24"/>
          <w:szCs w:val="24"/>
        </w:rPr>
        <w:footnoteReference w:id="57"/>
      </w:r>
      <w:r>
        <w:rPr>
          <w:rFonts w:ascii="Times New Roman" w:hAnsi="Times New Roman" w:cs="Times New Roman"/>
          <w:sz w:val="24"/>
          <w:szCs w:val="24"/>
        </w:rPr>
        <w:t>.</w:t>
      </w:r>
      <w:r w:rsidR="00AB45E5">
        <w:rPr>
          <w:rFonts w:ascii="Times New Roman" w:hAnsi="Times New Roman" w:cs="Times New Roman"/>
          <w:sz w:val="24"/>
          <w:szCs w:val="24"/>
        </w:rPr>
        <w:t xml:space="preserve"> Assim, </w:t>
      </w:r>
      <w:r w:rsidR="00630961">
        <w:rPr>
          <w:rFonts w:ascii="Times New Roman" w:hAnsi="Times New Roman" w:cs="Times New Roman"/>
          <w:sz w:val="24"/>
          <w:szCs w:val="24"/>
        </w:rPr>
        <w:t>o reforço da protecção dos direitos dos indivíduos exigiria que se estabelecesse uma equiparação entre a nacionalidade e a cidadania europeia, quando não existem motivos (substantivos) que justifiquem uma diferença de tratamento, dessa forma realmente corporizando a cidadania europeia como estatuto fundamental na UE.</w:t>
      </w:r>
    </w:p>
    <w:p w14:paraId="24D318C1" w14:textId="7E80FE84" w:rsidR="00F15F19" w:rsidRDefault="00C4585D" w:rsidP="00705DB0">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Finalmente, neste âmbito sugerir-se-ia ainda o estabelecimento do reconhecimento mútuo enquanto conceito compreensivo. </w:t>
      </w:r>
      <w:r w:rsidR="007F3A15">
        <w:rPr>
          <w:rFonts w:ascii="Times New Roman" w:hAnsi="Times New Roman" w:cs="Times New Roman"/>
          <w:sz w:val="24"/>
          <w:szCs w:val="24"/>
        </w:rPr>
        <w:t>Este destina-se,</w:t>
      </w:r>
      <w:r w:rsidR="00333646">
        <w:rPr>
          <w:rFonts w:ascii="Times New Roman" w:hAnsi="Times New Roman" w:cs="Times New Roman"/>
          <w:sz w:val="24"/>
          <w:szCs w:val="24"/>
        </w:rPr>
        <w:t xml:space="preserve"> em </w:t>
      </w:r>
      <w:r w:rsidR="007F3A15">
        <w:rPr>
          <w:rFonts w:ascii="Times New Roman" w:hAnsi="Times New Roman" w:cs="Times New Roman"/>
          <w:sz w:val="24"/>
          <w:szCs w:val="24"/>
        </w:rPr>
        <w:t>matéria</w:t>
      </w:r>
      <w:r w:rsidR="00333646">
        <w:rPr>
          <w:rFonts w:ascii="Times New Roman" w:hAnsi="Times New Roman" w:cs="Times New Roman"/>
          <w:sz w:val="24"/>
          <w:szCs w:val="24"/>
        </w:rPr>
        <w:t xml:space="preserve"> </w:t>
      </w:r>
      <w:r w:rsidR="007F3A15">
        <w:rPr>
          <w:rFonts w:ascii="Times New Roman" w:hAnsi="Times New Roman" w:cs="Times New Roman"/>
          <w:sz w:val="24"/>
          <w:szCs w:val="24"/>
        </w:rPr>
        <w:t>p</w:t>
      </w:r>
      <w:r w:rsidR="00333646">
        <w:rPr>
          <w:rFonts w:ascii="Times New Roman" w:hAnsi="Times New Roman" w:cs="Times New Roman"/>
          <w:sz w:val="24"/>
          <w:szCs w:val="24"/>
        </w:rPr>
        <w:t>enal</w:t>
      </w:r>
      <w:r w:rsidR="007F3A15">
        <w:rPr>
          <w:rFonts w:ascii="Times New Roman" w:hAnsi="Times New Roman" w:cs="Times New Roman"/>
          <w:sz w:val="24"/>
          <w:szCs w:val="24"/>
        </w:rPr>
        <w:t>,</w:t>
      </w:r>
      <w:r w:rsidR="00333646">
        <w:rPr>
          <w:rFonts w:ascii="Times New Roman" w:hAnsi="Times New Roman" w:cs="Times New Roman"/>
          <w:sz w:val="24"/>
          <w:szCs w:val="24"/>
        </w:rPr>
        <w:t xml:space="preserve"> a permitir a EM que reconheçam como suas decisões de outros EM, o que significa, por seu turno, que serão mais eficazmente implementadas. Essas decisões não são, actualmente, as que funcionam em benefício do indivíduo, mas apenas </w:t>
      </w:r>
      <w:r w:rsidR="007F3A15">
        <w:rPr>
          <w:rFonts w:ascii="Times New Roman" w:hAnsi="Times New Roman" w:cs="Times New Roman"/>
          <w:sz w:val="24"/>
          <w:szCs w:val="24"/>
        </w:rPr>
        <w:t>as</w:t>
      </w:r>
      <w:r w:rsidR="00333646">
        <w:rPr>
          <w:rFonts w:ascii="Times New Roman" w:hAnsi="Times New Roman" w:cs="Times New Roman"/>
          <w:sz w:val="24"/>
          <w:szCs w:val="24"/>
        </w:rPr>
        <w:t xml:space="preserve"> que se destinam a dar efeito ao poder repressivo estadual. </w:t>
      </w:r>
      <w:r w:rsidR="00CD7554">
        <w:rPr>
          <w:rFonts w:ascii="Times New Roman" w:hAnsi="Times New Roman" w:cs="Times New Roman"/>
          <w:sz w:val="24"/>
          <w:szCs w:val="24"/>
        </w:rPr>
        <w:t>No entanto, este princípio tem indiscutivelmente o potencial de ser lido no “interesse da pessoa condenada ou absolvida”</w:t>
      </w:r>
      <w:r w:rsidR="00CD7554">
        <w:rPr>
          <w:rStyle w:val="Refdenotaalpie"/>
          <w:rFonts w:ascii="Times New Roman" w:hAnsi="Times New Roman" w:cs="Times New Roman"/>
          <w:sz w:val="24"/>
          <w:szCs w:val="24"/>
        </w:rPr>
        <w:footnoteReference w:id="58"/>
      </w:r>
      <w:r w:rsidR="00E1359B">
        <w:rPr>
          <w:rFonts w:ascii="Times New Roman" w:hAnsi="Times New Roman" w:cs="Times New Roman"/>
          <w:sz w:val="24"/>
          <w:szCs w:val="24"/>
        </w:rPr>
        <w:t xml:space="preserve">, motivo pelo qual a ECBA (European Criminal Bar Association) clamou pelo reconhecimento mútuo de certas decisões relativas à extradição e entrega (negando a cooperação), de modo a permitir o efectivo </w:t>
      </w:r>
      <w:r w:rsidR="007F3A15">
        <w:rPr>
          <w:rFonts w:ascii="Times New Roman" w:hAnsi="Times New Roman" w:cs="Times New Roman"/>
          <w:sz w:val="24"/>
          <w:szCs w:val="24"/>
        </w:rPr>
        <w:t>gozo</w:t>
      </w:r>
      <w:r w:rsidR="00E1359B">
        <w:rPr>
          <w:rFonts w:ascii="Times New Roman" w:hAnsi="Times New Roman" w:cs="Times New Roman"/>
          <w:sz w:val="24"/>
          <w:szCs w:val="24"/>
        </w:rPr>
        <w:t xml:space="preserve"> do direito de livre circulação dentro da UE, sem que o indivíduo tenha, por isso, que ficar confinado ao território do EM que recusou a cooperação</w:t>
      </w:r>
      <w:r w:rsidR="00204784">
        <w:rPr>
          <w:rStyle w:val="Refdenotaalpie"/>
          <w:rFonts w:ascii="Times New Roman" w:hAnsi="Times New Roman" w:cs="Times New Roman"/>
          <w:sz w:val="24"/>
          <w:szCs w:val="24"/>
        </w:rPr>
        <w:footnoteReference w:id="59"/>
      </w:r>
      <w:r w:rsidR="00E1359B">
        <w:rPr>
          <w:rFonts w:ascii="Times New Roman" w:hAnsi="Times New Roman" w:cs="Times New Roman"/>
          <w:sz w:val="24"/>
          <w:szCs w:val="24"/>
        </w:rPr>
        <w:t xml:space="preserve">. </w:t>
      </w:r>
      <w:r w:rsidR="00AE2913">
        <w:rPr>
          <w:rFonts w:ascii="Times New Roman" w:hAnsi="Times New Roman" w:cs="Times New Roman"/>
          <w:sz w:val="24"/>
          <w:szCs w:val="24"/>
        </w:rPr>
        <w:t>Dependendo da natureza do motivo que levou uma determinada jurisdição a negar o pedido de cooperação, deveria, então, ser possível requerer o seu reconhecimento em todo o território da UE, fazendo com que a cooperação irremediavelmente em contradição com os valores fundamentais da UE fosse reconhecida por todos os EM</w:t>
      </w:r>
      <w:r w:rsidR="007F3A15">
        <w:rPr>
          <w:rFonts w:ascii="Times New Roman" w:hAnsi="Times New Roman" w:cs="Times New Roman"/>
          <w:sz w:val="24"/>
          <w:szCs w:val="24"/>
        </w:rPr>
        <w:t>.</w:t>
      </w:r>
    </w:p>
    <w:p w14:paraId="560C3715" w14:textId="77777777" w:rsidR="00F15F19" w:rsidRDefault="00F15F19" w:rsidP="00F15F19">
      <w:pPr>
        <w:spacing w:after="0" w:line="240" w:lineRule="auto"/>
        <w:ind w:left="708"/>
        <w:jc w:val="both"/>
        <w:rPr>
          <w:rFonts w:ascii="Times New Roman" w:hAnsi="Times New Roman" w:cs="Times New Roman"/>
          <w:b/>
          <w:bCs/>
          <w:sz w:val="24"/>
          <w:szCs w:val="24"/>
        </w:rPr>
      </w:pPr>
    </w:p>
    <w:p w14:paraId="6B9ECEE9" w14:textId="3D2D5F2C" w:rsidR="00F15F19" w:rsidRDefault="00F15F19" w:rsidP="00F15F19">
      <w:pPr>
        <w:pStyle w:val="Prrafodelista"/>
        <w:numPr>
          <w:ilvl w:val="1"/>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Confiança vertical e manutenção da identidade constitucional europeia</w:t>
      </w:r>
      <w:r w:rsidR="0010431A">
        <w:rPr>
          <w:rFonts w:ascii="Times New Roman" w:hAnsi="Times New Roman" w:cs="Times New Roman"/>
          <w:b/>
          <w:bCs/>
          <w:sz w:val="24"/>
          <w:szCs w:val="24"/>
        </w:rPr>
        <w:t xml:space="preserve"> </w:t>
      </w:r>
      <w:r w:rsidR="004972AD">
        <w:rPr>
          <w:rFonts w:ascii="Times New Roman" w:hAnsi="Times New Roman" w:cs="Times New Roman"/>
          <w:b/>
          <w:bCs/>
          <w:sz w:val="24"/>
          <w:szCs w:val="24"/>
        </w:rPr>
        <w:t>pela UE</w:t>
      </w:r>
    </w:p>
    <w:p w14:paraId="33106D8A" w14:textId="3B10DDE7" w:rsidR="00F15F19" w:rsidRDefault="005C2FC7"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Para além do que foi referido em relação ao respeito da identidade constitucional da UE por parte dos EM</w:t>
      </w:r>
      <w:r w:rsidR="006D33D6">
        <w:rPr>
          <w:rFonts w:ascii="Times New Roman" w:hAnsi="Times New Roman" w:cs="Times New Roman"/>
          <w:sz w:val="24"/>
          <w:szCs w:val="24"/>
        </w:rPr>
        <w:t>,</w:t>
      </w:r>
      <w:r w:rsidR="00E37D76">
        <w:rPr>
          <w:rFonts w:ascii="Times New Roman" w:hAnsi="Times New Roman" w:cs="Times New Roman"/>
          <w:sz w:val="24"/>
          <w:szCs w:val="24"/>
        </w:rPr>
        <w:t xml:space="preserve"> a manutenção da mesma por parte da própria UE também se mostra necessária. Na ALSJ, a temática onde a atitude contrária pode ser percebida é a política europeia de migração e asilo. </w:t>
      </w:r>
    </w:p>
    <w:p w14:paraId="3BEC81F2" w14:textId="4DE38A22" w:rsidR="00E37D76" w:rsidRDefault="00E37D76"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a migração corresponder a um direito humano (reconhecido em múltiplos instrumentos internacionais), na prática a sua exequibilidade dependerá das restrições existentes no território dos Estados envolvidos: tanto do Estado de origem quanto do Estado de trânsito ou destino. </w:t>
      </w:r>
      <w:r w:rsidR="009343CC">
        <w:rPr>
          <w:rFonts w:ascii="Times New Roman" w:hAnsi="Times New Roman" w:cs="Times New Roman"/>
          <w:sz w:val="24"/>
          <w:szCs w:val="24"/>
        </w:rPr>
        <w:t>A actual escassez de meios (legais) de aceder a protecção internacional</w:t>
      </w:r>
      <w:r w:rsidR="009343CC">
        <w:rPr>
          <w:rStyle w:val="Refdenotaalpie"/>
          <w:rFonts w:ascii="Times New Roman" w:hAnsi="Times New Roman" w:cs="Times New Roman"/>
          <w:sz w:val="24"/>
          <w:szCs w:val="24"/>
        </w:rPr>
        <w:footnoteReference w:id="60"/>
      </w:r>
      <w:r w:rsidR="009343CC">
        <w:rPr>
          <w:rFonts w:ascii="Times New Roman" w:hAnsi="Times New Roman" w:cs="Times New Roman"/>
          <w:sz w:val="24"/>
          <w:szCs w:val="24"/>
        </w:rPr>
        <w:t xml:space="preserve"> estará, neste sentido, na origem de uma significativa percentagem </w:t>
      </w:r>
      <w:r w:rsidR="00166AC8">
        <w:rPr>
          <w:rFonts w:ascii="Times New Roman" w:hAnsi="Times New Roman" w:cs="Times New Roman"/>
          <w:sz w:val="24"/>
          <w:szCs w:val="24"/>
        </w:rPr>
        <w:t>de migração irregular em território europeu</w:t>
      </w:r>
      <w:r w:rsidR="00166AC8">
        <w:rPr>
          <w:rStyle w:val="Refdenotaalpie"/>
          <w:rFonts w:ascii="Times New Roman" w:hAnsi="Times New Roman" w:cs="Times New Roman"/>
          <w:sz w:val="24"/>
          <w:szCs w:val="24"/>
        </w:rPr>
        <w:footnoteReference w:id="61"/>
      </w:r>
      <w:r w:rsidR="00166AC8">
        <w:rPr>
          <w:rFonts w:ascii="Times New Roman" w:hAnsi="Times New Roman" w:cs="Times New Roman"/>
          <w:sz w:val="24"/>
          <w:szCs w:val="24"/>
        </w:rPr>
        <w:t>.</w:t>
      </w:r>
    </w:p>
    <w:p w14:paraId="37B1FA8C" w14:textId="51D776EE" w:rsidR="003D6636" w:rsidRDefault="003D6636"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esforços europeus neste âmbito centram-se num claro objectivo: o de manter as pessoas em migração </w:t>
      </w:r>
      <w:r>
        <w:rPr>
          <w:rFonts w:ascii="Times New Roman" w:hAnsi="Times New Roman" w:cs="Times New Roman"/>
          <w:i/>
          <w:iCs/>
          <w:sz w:val="24"/>
          <w:szCs w:val="24"/>
        </w:rPr>
        <w:t xml:space="preserve">fora </w:t>
      </w:r>
      <w:r>
        <w:rPr>
          <w:rFonts w:ascii="Times New Roman" w:hAnsi="Times New Roman" w:cs="Times New Roman"/>
          <w:sz w:val="24"/>
          <w:szCs w:val="24"/>
        </w:rPr>
        <w:t>d</w:t>
      </w:r>
      <w:r w:rsidR="006D33D6">
        <w:rPr>
          <w:rFonts w:ascii="Times New Roman" w:hAnsi="Times New Roman" w:cs="Times New Roman"/>
          <w:sz w:val="24"/>
          <w:szCs w:val="24"/>
        </w:rPr>
        <w:t>esse</w:t>
      </w:r>
      <w:r>
        <w:rPr>
          <w:rFonts w:ascii="Times New Roman" w:hAnsi="Times New Roman" w:cs="Times New Roman"/>
          <w:sz w:val="24"/>
          <w:szCs w:val="24"/>
        </w:rPr>
        <w:t xml:space="preserve"> território, autorizando apenas alguns movimentos migratórios (para além dos intra-comunitários, usualmente apenas os que correspondem a reunificação familiar ou postos de trabalho desejados pelos EM). Esse objectivo pode ser retirado tanto das prioridades assumidas pela UE – a segurança das fronteiras externas, o combate ao contrabando de migrantes, o estabelecimento de procedimentos de retorno acelerados</w:t>
      </w:r>
      <w:r>
        <w:rPr>
          <w:rStyle w:val="Refdenotaalpie"/>
          <w:rFonts w:ascii="Times New Roman" w:hAnsi="Times New Roman" w:cs="Times New Roman"/>
          <w:sz w:val="24"/>
          <w:szCs w:val="24"/>
        </w:rPr>
        <w:footnoteReference w:id="62"/>
      </w:r>
      <w:r>
        <w:rPr>
          <w:rFonts w:ascii="Times New Roman" w:hAnsi="Times New Roman" w:cs="Times New Roman"/>
          <w:sz w:val="24"/>
          <w:szCs w:val="24"/>
        </w:rPr>
        <w:t xml:space="preserve"> – como da jurisprudência do TJUE que, apesar de ter tido como vantagem a não punição (penal) dos migrantes, claramente priorizou o seu retorno</w:t>
      </w:r>
      <w:r>
        <w:rPr>
          <w:rStyle w:val="Refdenotaalpie"/>
          <w:rFonts w:ascii="Times New Roman" w:hAnsi="Times New Roman" w:cs="Times New Roman"/>
          <w:sz w:val="24"/>
          <w:szCs w:val="24"/>
        </w:rPr>
        <w:footnoteReference w:id="63"/>
      </w:r>
      <w:r>
        <w:rPr>
          <w:rFonts w:ascii="Times New Roman" w:hAnsi="Times New Roman" w:cs="Times New Roman"/>
          <w:sz w:val="24"/>
          <w:szCs w:val="24"/>
        </w:rPr>
        <w:t>.</w:t>
      </w:r>
      <w:r w:rsidR="001B4C06">
        <w:rPr>
          <w:rFonts w:ascii="Times New Roman" w:hAnsi="Times New Roman" w:cs="Times New Roman"/>
          <w:sz w:val="24"/>
          <w:szCs w:val="24"/>
        </w:rPr>
        <w:t xml:space="preserve"> O problema com a definição desse objectivo é que leva, invariavelmente, à erosão de direitos fundamentais (dos migrantes e dos cidadãos da UE), decorrente da sua constante violação – o que se irá demonstrar através de três exemplos.</w:t>
      </w:r>
    </w:p>
    <w:p w14:paraId="30B53064" w14:textId="6D7D3850" w:rsidR="002241A8" w:rsidRDefault="002241A8"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primeiro é o fenómeno conhecido como </w:t>
      </w:r>
      <w:r>
        <w:rPr>
          <w:rFonts w:ascii="Times New Roman" w:hAnsi="Times New Roman" w:cs="Times New Roman"/>
          <w:i/>
          <w:iCs/>
          <w:sz w:val="24"/>
          <w:szCs w:val="24"/>
        </w:rPr>
        <w:t>instrumentalização de migrantes</w:t>
      </w:r>
      <w:r>
        <w:rPr>
          <w:rFonts w:ascii="Times New Roman" w:hAnsi="Times New Roman" w:cs="Times New Roman"/>
          <w:sz w:val="24"/>
          <w:szCs w:val="24"/>
        </w:rPr>
        <w:t xml:space="preserve">: este pretende identificar o uso, por parte de países terceiros, de migrantes para desestabilizar </w:t>
      </w:r>
      <w:r>
        <w:rPr>
          <w:rFonts w:ascii="Times New Roman" w:hAnsi="Times New Roman" w:cs="Times New Roman"/>
          <w:sz w:val="24"/>
          <w:szCs w:val="24"/>
        </w:rPr>
        <w:lastRenderedPageBreak/>
        <w:t>o sistema de asilo europeu. A instrumentalização ocorre porque a chegada (em números significativos) de migrantes em situação irregular é promovida ou facilitada por esse país terceiro</w:t>
      </w:r>
      <w:r w:rsidR="00DC3C63">
        <w:rPr>
          <w:rStyle w:val="Refdenotaalpie"/>
          <w:rFonts w:ascii="Times New Roman" w:hAnsi="Times New Roman" w:cs="Times New Roman"/>
          <w:sz w:val="24"/>
          <w:szCs w:val="24"/>
        </w:rPr>
        <w:footnoteReference w:id="64"/>
      </w:r>
      <w:r w:rsidR="00DC3C63">
        <w:rPr>
          <w:rFonts w:ascii="Times New Roman" w:hAnsi="Times New Roman" w:cs="Times New Roman"/>
          <w:sz w:val="24"/>
          <w:szCs w:val="24"/>
        </w:rPr>
        <w:t xml:space="preserve">. A resposta </w:t>
      </w:r>
      <w:r w:rsidR="00F94E47">
        <w:rPr>
          <w:rFonts w:ascii="Times New Roman" w:hAnsi="Times New Roman" w:cs="Times New Roman"/>
          <w:sz w:val="24"/>
          <w:szCs w:val="24"/>
        </w:rPr>
        <w:t xml:space="preserve">dos </w:t>
      </w:r>
      <w:r w:rsidR="006D33D6">
        <w:rPr>
          <w:rFonts w:ascii="Times New Roman" w:hAnsi="Times New Roman" w:cs="Times New Roman"/>
          <w:sz w:val="24"/>
          <w:szCs w:val="24"/>
        </w:rPr>
        <w:t>EM</w:t>
      </w:r>
      <w:r w:rsidR="00F94E47">
        <w:rPr>
          <w:rFonts w:ascii="Times New Roman" w:hAnsi="Times New Roman" w:cs="Times New Roman"/>
          <w:sz w:val="24"/>
          <w:szCs w:val="24"/>
        </w:rPr>
        <w:t xml:space="preserve"> mais afectados não tinha precedentes até então: restringiram o direito a requerer asilo e autorizaram a remoção forçada dos migrantes das suas fronteiras, em violação das suas obrigações internacionais</w:t>
      </w:r>
      <w:r w:rsidR="004313A7">
        <w:rPr>
          <w:rStyle w:val="Refdenotaalpie"/>
          <w:rFonts w:ascii="Times New Roman" w:hAnsi="Times New Roman" w:cs="Times New Roman"/>
          <w:sz w:val="24"/>
          <w:szCs w:val="24"/>
        </w:rPr>
        <w:footnoteReference w:id="65"/>
      </w:r>
      <w:r w:rsidR="00F94E47">
        <w:rPr>
          <w:rFonts w:ascii="Times New Roman" w:hAnsi="Times New Roman" w:cs="Times New Roman"/>
          <w:sz w:val="24"/>
          <w:szCs w:val="24"/>
        </w:rPr>
        <w:t xml:space="preserve">. </w:t>
      </w:r>
      <w:r w:rsidR="009A3AC0">
        <w:rPr>
          <w:rFonts w:ascii="Times New Roman" w:hAnsi="Times New Roman" w:cs="Times New Roman"/>
          <w:sz w:val="24"/>
          <w:szCs w:val="24"/>
        </w:rPr>
        <w:t>Apesar disso, e do claro desrespeito pelos valores fundamentais da UE (nomeadamente pelo Estado de direito e direitos fundamentais), não só não foram censurados, como também foram economicamente apoiados nesses esforços</w:t>
      </w:r>
      <w:r w:rsidR="009A3AC0">
        <w:rPr>
          <w:rStyle w:val="Refdenotaalpie"/>
          <w:rFonts w:ascii="Times New Roman" w:hAnsi="Times New Roman" w:cs="Times New Roman"/>
          <w:sz w:val="24"/>
          <w:szCs w:val="24"/>
        </w:rPr>
        <w:footnoteReference w:id="66"/>
      </w:r>
      <w:r w:rsidR="009A3AC0">
        <w:rPr>
          <w:rFonts w:ascii="Times New Roman" w:hAnsi="Times New Roman" w:cs="Times New Roman"/>
          <w:sz w:val="24"/>
          <w:szCs w:val="24"/>
        </w:rPr>
        <w:t>.</w:t>
      </w:r>
    </w:p>
    <w:p w14:paraId="7E964E6F" w14:textId="32826E33" w:rsidR="00DA1ECF" w:rsidRDefault="00DA1ECF"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segundo exemplo surge-nos no campo do Direito Penal. A criminalização do contrabando de migrantes operada pela legislação europeia é notoriamente abrangente: para além de não requerer uma intenção lucrativa para que a conduta de facilitamento de entrada, trânsito ou residência no território de um EM seja criminalizada, também não possui qualquer excepção humanitária obrigatória. Isso tem como consequências, para lá da óbvia ausência de bem jurídico a proteger nesse caso</w:t>
      </w:r>
      <w:r w:rsidR="00211027">
        <w:rPr>
          <w:rStyle w:val="Refdenotaalpie"/>
          <w:rFonts w:ascii="Times New Roman" w:hAnsi="Times New Roman" w:cs="Times New Roman"/>
          <w:sz w:val="24"/>
          <w:szCs w:val="24"/>
        </w:rPr>
        <w:footnoteReference w:id="67"/>
      </w:r>
      <w:r>
        <w:rPr>
          <w:rFonts w:ascii="Times New Roman" w:hAnsi="Times New Roman" w:cs="Times New Roman"/>
          <w:sz w:val="24"/>
          <w:szCs w:val="24"/>
        </w:rPr>
        <w:t xml:space="preserve">, </w:t>
      </w:r>
      <w:r w:rsidR="006121D0">
        <w:rPr>
          <w:rFonts w:ascii="Times New Roman" w:hAnsi="Times New Roman" w:cs="Times New Roman"/>
          <w:sz w:val="24"/>
          <w:szCs w:val="24"/>
        </w:rPr>
        <w:t>a criminalização da ajuda humanitária, dos próprios migrantes (incluindo crianças), e ainda variadas falhas que caracterizam os processos nestes casos</w:t>
      </w:r>
      <w:r w:rsidR="00211027">
        <w:rPr>
          <w:rStyle w:val="Refdenotaalpie"/>
          <w:rFonts w:ascii="Times New Roman" w:hAnsi="Times New Roman" w:cs="Times New Roman"/>
          <w:sz w:val="24"/>
          <w:szCs w:val="24"/>
        </w:rPr>
        <w:footnoteReference w:id="68"/>
      </w:r>
      <w:r w:rsidR="006121D0">
        <w:rPr>
          <w:rFonts w:ascii="Times New Roman" w:hAnsi="Times New Roman" w:cs="Times New Roman"/>
          <w:sz w:val="24"/>
          <w:szCs w:val="24"/>
        </w:rPr>
        <w:t xml:space="preserve">. </w:t>
      </w:r>
    </w:p>
    <w:p w14:paraId="4D465AFE" w14:textId="1F00A1B6" w:rsidR="006C19F6" w:rsidRDefault="006C19F6"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Finalmente, deve ainda referir-se o processo de externalização da política de migração europeia em curso</w:t>
      </w:r>
      <w:r w:rsidR="00B50A46">
        <w:rPr>
          <w:rFonts w:ascii="Times New Roman" w:hAnsi="Times New Roman" w:cs="Times New Roman"/>
          <w:sz w:val="24"/>
          <w:szCs w:val="24"/>
        </w:rPr>
        <w:t>, o qual</w:t>
      </w:r>
      <w:r>
        <w:rPr>
          <w:rFonts w:ascii="Times New Roman" w:hAnsi="Times New Roman" w:cs="Times New Roman"/>
          <w:sz w:val="24"/>
          <w:szCs w:val="24"/>
        </w:rPr>
        <w:t xml:space="preserve"> envolve variadas práticas que pretendem </w:t>
      </w:r>
      <w:r w:rsidR="00B50A46">
        <w:rPr>
          <w:rFonts w:ascii="Times New Roman" w:hAnsi="Times New Roman" w:cs="Times New Roman"/>
          <w:sz w:val="24"/>
          <w:szCs w:val="24"/>
        </w:rPr>
        <w:t>impermeabilizar</w:t>
      </w:r>
      <w:r>
        <w:rPr>
          <w:rFonts w:ascii="Times New Roman" w:hAnsi="Times New Roman" w:cs="Times New Roman"/>
          <w:sz w:val="24"/>
          <w:szCs w:val="24"/>
        </w:rPr>
        <w:t xml:space="preserve"> o território europeu à migração indesejada.</w:t>
      </w:r>
      <w:r w:rsidR="00874CDB">
        <w:rPr>
          <w:rFonts w:ascii="Times New Roman" w:hAnsi="Times New Roman" w:cs="Times New Roman"/>
          <w:sz w:val="24"/>
          <w:szCs w:val="24"/>
        </w:rPr>
        <w:t xml:space="preserve"> M</w:t>
      </w:r>
      <w:r w:rsidR="00B50A46">
        <w:rPr>
          <w:rFonts w:ascii="Times New Roman" w:hAnsi="Times New Roman" w:cs="Times New Roman"/>
          <w:sz w:val="24"/>
          <w:szCs w:val="24"/>
        </w:rPr>
        <w:t>erecem</w:t>
      </w:r>
      <w:r w:rsidR="00874CDB">
        <w:rPr>
          <w:rFonts w:ascii="Times New Roman" w:hAnsi="Times New Roman" w:cs="Times New Roman"/>
          <w:sz w:val="24"/>
          <w:szCs w:val="24"/>
        </w:rPr>
        <w:t xml:space="preserve"> particular </w:t>
      </w:r>
      <w:r w:rsidR="00B50A46">
        <w:rPr>
          <w:rFonts w:ascii="Times New Roman" w:hAnsi="Times New Roman" w:cs="Times New Roman"/>
          <w:sz w:val="24"/>
          <w:szCs w:val="24"/>
        </w:rPr>
        <w:t>crítica os acordos estabelecidos com países terceiros (maioritariamente africanos) para controlo da migração e os fundos europeus massivos investidos nesses países</w:t>
      </w:r>
      <w:r w:rsidR="00B50A46">
        <w:rPr>
          <w:rStyle w:val="Refdenotaalpie"/>
          <w:rFonts w:ascii="Times New Roman" w:hAnsi="Times New Roman" w:cs="Times New Roman"/>
          <w:sz w:val="24"/>
          <w:szCs w:val="24"/>
        </w:rPr>
        <w:footnoteReference w:id="69"/>
      </w:r>
      <w:r w:rsidR="0003231E">
        <w:rPr>
          <w:rFonts w:ascii="Times New Roman" w:hAnsi="Times New Roman" w:cs="Times New Roman"/>
          <w:sz w:val="24"/>
          <w:szCs w:val="24"/>
        </w:rPr>
        <w:t xml:space="preserve">: para além </w:t>
      </w:r>
      <w:r w:rsidR="00874CDB">
        <w:rPr>
          <w:rFonts w:ascii="Times New Roman" w:hAnsi="Times New Roman" w:cs="Times New Roman"/>
          <w:sz w:val="24"/>
          <w:szCs w:val="24"/>
        </w:rPr>
        <w:t>d</w:t>
      </w:r>
      <w:r w:rsidR="0003231E">
        <w:rPr>
          <w:rFonts w:ascii="Times New Roman" w:hAnsi="Times New Roman" w:cs="Times New Roman"/>
          <w:sz w:val="24"/>
          <w:szCs w:val="24"/>
        </w:rPr>
        <w:t>a</w:t>
      </w:r>
      <w:r w:rsidR="00874CDB">
        <w:rPr>
          <w:rFonts w:ascii="Times New Roman" w:hAnsi="Times New Roman" w:cs="Times New Roman"/>
          <w:sz w:val="24"/>
          <w:szCs w:val="24"/>
        </w:rPr>
        <w:t xml:space="preserve"> documentada</w:t>
      </w:r>
      <w:r w:rsidR="0003231E">
        <w:rPr>
          <w:rFonts w:ascii="Times New Roman" w:hAnsi="Times New Roman" w:cs="Times New Roman"/>
          <w:sz w:val="24"/>
          <w:szCs w:val="24"/>
        </w:rPr>
        <w:t xml:space="preserve"> violação dos direitos humanos dos migrantes</w:t>
      </w:r>
      <w:r w:rsidR="00874CDB">
        <w:rPr>
          <w:rFonts w:ascii="Times New Roman" w:hAnsi="Times New Roman" w:cs="Times New Roman"/>
          <w:sz w:val="24"/>
          <w:szCs w:val="24"/>
        </w:rPr>
        <w:t xml:space="preserve"> que originam</w:t>
      </w:r>
      <w:r w:rsidR="00281A45">
        <w:rPr>
          <w:rStyle w:val="Refdenotaalpie"/>
          <w:rFonts w:ascii="Times New Roman" w:hAnsi="Times New Roman" w:cs="Times New Roman"/>
          <w:sz w:val="24"/>
          <w:szCs w:val="24"/>
        </w:rPr>
        <w:footnoteReference w:id="70"/>
      </w:r>
      <w:r w:rsidR="0003231E">
        <w:rPr>
          <w:rFonts w:ascii="Times New Roman" w:hAnsi="Times New Roman" w:cs="Times New Roman"/>
          <w:sz w:val="24"/>
          <w:szCs w:val="24"/>
        </w:rPr>
        <w:t>, perpetuam a migração irregular que pretendem controlar, dado que muitas vezes os grupos responsáveis pelo combate ao contrabando de migrantes são os mesmos que o promovem</w:t>
      </w:r>
      <w:r w:rsidR="00281A45">
        <w:rPr>
          <w:rStyle w:val="Refdenotaalpie"/>
          <w:rFonts w:ascii="Times New Roman" w:hAnsi="Times New Roman" w:cs="Times New Roman"/>
          <w:sz w:val="24"/>
          <w:szCs w:val="24"/>
        </w:rPr>
        <w:footnoteReference w:id="71"/>
      </w:r>
      <w:r w:rsidR="0003231E">
        <w:rPr>
          <w:rFonts w:ascii="Times New Roman" w:hAnsi="Times New Roman" w:cs="Times New Roman"/>
          <w:sz w:val="24"/>
          <w:szCs w:val="24"/>
        </w:rPr>
        <w:t xml:space="preserve">. </w:t>
      </w:r>
      <w:r w:rsidR="007364E3">
        <w:rPr>
          <w:rFonts w:ascii="Times New Roman" w:hAnsi="Times New Roman" w:cs="Times New Roman"/>
          <w:sz w:val="24"/>
          <w:szCs w:val="24"/>
        </w:rPr>
        <w:t>A actuação da UE neste campo foi (e é) amplamente criticada precisamente</w:t>
      </w:r>
      <w:r w:rsidR="00874CDB">
        <w:rPr>
          <w:rFonts w:ascii="Times New Roman" w:hAnsi="Times New Roman" w:cs="Times New Roman"/>
          <w:sz w:val="24"/>
          <w:szCs w:val="24"/>
        </w:rPr>
        <w:t xml:space="preserve"> por</w:t>
      </w:r>
      <w:r w:rsidR="007364E3">
        <w:rPr>
          <w:rFonts w:ascii="Times New Roman" w:hAnsi="Times New Roman" w:cs="Times New Roman"/>
          <w:sz w:val="24"/>
          <w:szCs w:val="24"/>
        </w:rPr>
        <w:t xml:space="preserve"> colocar os seus fundamentos axiológicos em causa e perpetuar regimes autocráticos</w:t>
      </w:r>
      <w:r w:rsidR="00281A45">
        <w:rPr>
          <w:rStyle w:val="Refdenotaalpie"/>
          <w:rFonts w:ascii="Times New Roman" w:hAnsi="Times New Roman" w:cs="Times New Roman"/>
          <w:sz w:val="24"/>
          <w:szCs w:val="24"/>
        </w:rPr>
        <w:footnoteReference w:id="72"/>
      </w:r>
      <w:r w:rsidR="007364E3">
        <w:rPr>
          <w:rFonts w:ascii="Times New Roman" w:hAnsi="Times New Roman" w:cs="Times New Roman"/>
          <w:sz w:val="24"/>
          <w:szCs w:val="24"/>
        </w:rPr>
        <w:t>, em clara</w:t>
      </w:r>
      <w:r w:rsidR="00874CDB">
        <w:rPr>
          <w:rFonts w:ascii="Times New Roman" w:hAnsi="Times New Roman" w:cs="Times New Roman"/>
          <w:sz w:val="24"/>
          <w:szCs w:val="24"/>
        </w:rPr>
        <w:t xml:space="preserve"> violação</w:t>
      </w:r>
      <w:r w:rsidR="007364E3">
        <w:rPr>
          <w:rFonts w:ascii="Times New Roman" w:hAnsi="Times New Roman" w:cs="Times New Roman"/>
          <w:sz w:val="24"/>
          <w:szCs w:val="24"/>
        </w:rPr>
        <w:t xml:space="preserve"> do estabelecido pelos Tratados (art. 3º, nº 5 TUE)</w:t>
      </w:r>
      <w:r w:rsidR="0057701D">
        <w:rPr>
          <w:rFonts w:ascii="Times New Roman" w:hAnsi="Times New Roman" w:cs="Times New Roman"/>
          <w:sz w:val="24"/>
          <w:szCs w:val="24"/>
        </w:rPr>
        <w:t>.</w:t>
      </w:r>
    </w:p>
    <w:p w14:paraId="62281551" w14:textId="76488F77" w:rsidR="001E4F82" w:rsidRDefault="001E4F82" w:rsidP="005C2F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Existem várias sugestões de melhorias neste âmbito. Desde logo, o investimento europeu deveria dirigir-se ao estabelecimento de vias legais que permitissem a deslocação dos migrantes (requerentes de asilo) sem necessidade de recorrer </w:t>
      </w:r>
      <w:r w:rsidR="004069EB">
        <w:rPr>
          <w:rFonts w:ascii="Times New Roman" w:hAnsi="Times New Roman" w:cs="Times New Roman"/>
          <w:sz w:val="24"/>
          <w:szCs w:val="24"/>
        </w:rPr>
        <w:t xml:space="preserve">ao seu contrabando, e também à sua integração eficaz na sociedade para onde se deslocam. O investimento nas comunidades dos países de origem faria com que as aspirações migratórias diminuíssem, por se encontrarem reunidas as condições de sobrevivência na sua própria comunidade. A adopção dessas medidas permitiria ainda a adopção de uma norma penal, relativa ao contrabando de migrantes, mais consentânea com os fundamentos próprios do Direito Penal liberal e valores constitucionais europeus, bem como, concomitantemente, a defesa da identidade constitucional da UE. </w:t>
      </w:r>
    </w:p>
    <w:p w14:paraId="1ADB068F" w14:textId="77777777" w:rsidR="000A1B49" w:rsidRDefault="000A1B49" w:rsidP="005C2FC7">
      <w:pPr>
        <w:spacing w:after="0" w:line="240" w:lineRule="auto"/>
        <w:ind w:firstLine="708"/>
        <w:jc w:val="both"/>
        <w:rPr>
          <w:rFonts w:ascii="Times New Roman" w:hAnsi="Times New Roman" w:cs="Times New Roman"/>
          <w:sz w:val="24"/>
          <w:szCs w:val="24"/>
        </w:rPr>
      </w:pPr>
    </w:p>
    <w:p w14:paraId="4E894656" w14:textId="392ECDA4" w:rsidR="000A1B49" w:rsidRDefault="000A1B49" w:rsidP="000A1B49">
      <w:pPr>
        <w:pStyle w:val="Prrafodelista"/>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Conclusões</w:t>
      </w:r>
    </w:p>
    <w:p w14:paraId="6C600404" w14:textId="56C1664F" w:rsidR="000A1B49" w:rsidRDefault="00555AE8" w:rsidP="000A1B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identificação de um núcleo axiológico e de fundamentos materiais que </w:t>
      </w:r>
      <w:r w:rsidR="00874CDB">
        <w:rPr>
          <w:rFonts w:ascii="Times New Roman" w:hAnsi="Times New Roman" w:cs="Times New Roman"/>
          <w:sz w:val="24"/>
          <w:szCs w:val="24"/>
        </w:rPr>
        <w:t>integram a</w:t>
      </w:r>
      <w:r>
        <w:rPr>
          <w:rFonts w:ascii="Times New Roman" w:hAnsi="Times New Roman" w:cs="Times New Roman"/>
          <w:sz w:val="24"/>
          <w:szCs w:val="24"/>
        </w:rPr>
        <w:t xml:space="preserve"> característica identidade constitucional europeia preclude, por parte das entidades envolvidas – sejam os EM, seja a UE –, a adopção de comportamentos contrários a essa identidade, sob pena não só de se desvirtuar o ordenamento supranacional criado, mas também de potenciar alteração da identidade constitucional em cada EM</w:t>
      </w:r>
      <w:r w:rsidR="006A4FE6">
        <w:rPr>
          <w:rFonts w:ascii="Times New Roman" w:hAnsi="Times New Roman" w:cs="Times New Roman"/>
          <w:sz w:val="24"/>
          <w:szCs w:val="24"/>
        </w:rPr>
        <w:t xml:space="preserve">. </w:t>
      </w:r>
    </w:p>
    <w:p w14:paraId="6869DA31" w14:textId="653B3142" w:rsidR="006A4FE6" w:rsidRPr="000A1B49" w:rsidRDefault="006A4FE6" w:rsidP="000A1B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As consequências do específico constitucionalismo europeu denotam-se em ambos os níveis que o compõem. Por um lado, os EM não são já inteiramente livres de definir a sua identidade constitucional de um modo que se revele incompatível com os valores da comunidade europeia e continuar, simultaneamente, a integrar essa rede constitucional</w:t>
      </w:r>
      <w:r w:rsidR="00874CDB">
        <w:rPr>
          <w:rFonts w:ascii="Times New Roman" w:hAnsi="Times New Roman" w:cs="Times New Roman"/>
          <w:sz w:val="24"/>
          <w:szCs w:val="24"/>
        </w:rPr>
        <w:t xml:space="preserve"> neles</w:t>
      </w:r>
      <w:r w:rsidR="007B4A9C">
        <w:rPr>
          <w:rFonts w:ascii="Times New Roman" w:hAnsi="Times New Roman" w:cs="Times New Roman"/>
          <w:sz w:val="24"/>
          <w:szCs w:val="24"/>
        </w:rPr>
        <w:t xml:space="preserve"> </w:t>
      </w:r>
      <w:r w:rsidR="00D62727">
        <w:rPr>
          <w:rFonts w:ascii="Times New Roman" w:hAnsi="Times New Roman" w:cs="Times New Roman"/>
          <w:sz w:val="24"/>
          <w:szCs w:val="24"/>
        </w:rPr>
        <w:t>fundada</w:t>
      </w:r>
      <w:r w:rsidR="007B4A9C">
        <w:rPr>
          <w:rStyle w:val="Refdenotaalpie"/>
          <w:rFonts w:ascii="Times New Roman" w:hAnsi="Times New Roman" w:cs="Times New Roman"/>
          <w:sz w:val="24"/>
          <w:szCs w:val="24"/>
        </w:rPr>
        <w:footnoteReference w:id="73"/>
      </w:r>
      <w:r>
        <w:rPr>
          <w:rFonts w:ascii="Times New Roman" w:hAnsi="Times New Roman" w:cs="Times New Roman"/>
          <w:sz w:val="24"/>
          <w:szCs w:val="24"/>
        </w:rPr>
        <w:t xml:space="preserve">. </w:t>
      </w:r>
      <w:r w:rsidR="00D62727">
        <w:rPr>
          <w:rFonts w:ascii="Times New Roman" w:hAnsi="Times New Roman" w:cs="Times New Roman"/>
          <w:sz w:val="24"/>
          <w:szCs w:val="24"/>
        </w:rPr>
        <w:t xml:space="preserve">Essa incompatibilidade denota-se quer através da relutância dos restantes EM em colaborar, de forma plena, com o EM violador, quer através de algumas reacções (ainda que insuficientes) por parte da entidade supranacional (como p. ex. a retenção de fundos). </w:t>
      </w:r>
      <w:r w:rsidR="00B202C6">
        <w:rPr>
          <w:rFonts w:ascii="Times New Roman" w:hAnsi="Times New Roman" w:cs="Times New Roman"/>
          <w:sz w:val="24"/>
          <w:szCs w:val="24"/>
        </w:rPr>
        <w:t>Por outro lado, a própria UE deve activamente defender esses seus/comuns valores fundamentais; se não o fizer, através da adopção visível dos mesmos na sua actuação e do sancionamento efectivo dos EM infractores</w:t>
      </w:r>
      <w:r w:rsidR="008B63F3">
        <w:rPr>
          <w:rStyle w:val="Refdenotaalpie"/>
          <w:rFonts w:ascii="Times New Roman" w:hAnsi="Times New Roman" w:cs="Times New Roman"/>
          <w:sz w:val="24"/>
          <w:szCs w:val="24"/>
        </w:rPr>
        <w:footnoteReference w:id="74"/>
      </w:r>
      <w:r w:rsidR="00B202C6">
        <w:rPr>
          <w:rFonts w:ascii="Times New Roman" w:hAnsi="Times New Roman" w:cs="Times New Roman"/>
          <w:sz w:val="24"/>
          <w:szCs w:val="24"/>
        </w:rPr>
        <w:t xml:space="preserve">, os Estados sentir-se-ão igualmente no direito de os desrespeitar, o que irá acelerar o </w:t>
      </w:r>
      <w:r w:rsidR="00345746">
        <w:rPr>
          <w:rFonts w:ascii="Times New Roman" w:hAnsi="Times New Roman" w:cs="Times New Roman"/>
          <w:sz w:val="24"/>
          <w:szCs w:val="24"/>
        </w:rPr>
        <w:t>manifesto</w:t>
      </w:r>
      <w:r w:rsidR="00B202C6">
        <w:rPr>
          <w:rFonts w:ascii="Times New Roman" w:hAnsi="Times New Roman" w:cs="Times New Roman"/>
          <w:sz w:val="24"/>
          <w:szCs w:val="24"/>
        </w:rPr>
        <w:t xml:space="preserve"> recuo do Estado de Direito na UE</w:t>
      </w:r>
      <w:r w:rsidR="00B202C6">
        <w:rPr>
          <w:rStyle w:val="Refdenotaalpie"/>
          <w:rFonts w:ascii="Times New Roman" w:hAnsi="Times New Roman" w:cs="Times New Roman"/>
          <w:sz w:val="24"/>
          <w:szCs w:val="24"/>
        </w:rPr>
        <w:footnoteReference w:id="75"/>
      </w:r>
      <w:r w:rsidR="00B202C6">
        <w:rPr>
          <w:rFonts w:ascii="Times New Roman" w:hAnsi="Times New Roman" w:cs="Times New Roman"/>
          <w:sz w:val="24"/>
          <w:szCs w:val="24"/>
        </w:rPr>
        <w:t>.</w:t>
      </w:r>
    </w:p>
    <w:p w14:paraId="172B92EB" w14:textId="23B9C314" w:rsidR="00BA0FD1" w:rsidRDefault="00936DC5" w:rsidP="00936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Tanto a entidade supranacional quanto os Estados devem recordar a natureza essencial dos valores expressos no art. 2º TUE para a</w:t>
      </w:r>
      <w:r w:rsidR="001C32F4">
        <w:rPr>
          <w:rFonts w:ascii="Times New Roman" w:hAnsi="Times New Roman" w:cs="Times New Roman"/>
          <w:sz w:val="24"/>
          <w:szCs w:val="24"/>
        </w:rPr>
        <w:t xml:space="preserve"> nossa</w:t>
      </w:r>
      <w:r>
        <w:rPr>
          <w:rFonts w:ascii="Times New Roman" w:hAnsi="Times New Roman" w:cs="Times New Roman"/>
          <w:sz w:val="24"/>
          <w:szCs w:val="24"/>
        </w:rPr>
        <w:t xml:space="preserve"> identidade comum</w:t>
      </w:r>
      <w:r w:rsidR="001C32F4">
        <w:rPr>
          <w:rFonts w:ascii="Times New Roman" w:hAnsi="Times New Roman" w:cs="Times New Roman"/>
          <w:sz w:val="24"/>
          <w:szCs w:val="24"/>
        </w:rPr>
        <w:t xml:space="preserve">. E essa identidade não é apenas </w:t>
      </w:r>
      <w:r w:rsidR="00345746">
        <w:rPr>
          <w:rFonts w:ascii="Times New Roman" w:hAnsi="Times New Roman" w:cs="Times New Roman"/>
          <w:sz w:val="24"/>
          <w:szCs w:val="24"/>
        </w:rPr>
        <w:t>a</w:t>
      </w:r>
      <w:r w:rsidR="001C32F4">
        <w:rPr>
          <w:rFonts w:ascii="Times New Roman" w:hAnsi="Times New Roman" w:cs="Times New Roman"/>
          <w:sz w:val="24"/>
          <w:szCs w:val="24"/>
        </w:rPr>
        <w:t xml:space="preserve"> escolha soberana de um Estado ou mesmo da </w:t>
      </w:r>
      <w:r w:rsidR="00345746">
        <w:rPr>
          <w:rFonts w:ascii="Times New Roman" w:hAnsi="Times New Roman" w:cs="Times New Roman"/>
          <w:sz w:val="24"/>
          <w:szCs w:val="24"/>
        </w:rPr>
        <w:t>UE</w:t>
      </w:r>
      <w:r w:rsidR="001C32F4">
        <w:rPr>
          <w:rFonts w:ascii="Times New Roman" w:hAnsi="Times New Roman" w:cs="Times New Roman"/>
          <w:sz w:val="24"/>
          <w:szCs w:val="24"/>
        </w:rPr>
        <w:t xml:space="preserve">: enquanto essa União existir, deve ser o reflexo de uma escolha comunitária, respeitada por todos os membros dessa comunidade de valores. </w:t>
      </w:r>
    </w:p>
    <w:p w14:paraId="63F7877E" w14:textId="77777777" w:rsidR="00BA0FD1" w:rsidRDefault="00BA0FD1" w:rsidP="00F46D11">
      <w:pPr>
        <w:spacing w:after="0" w:line="240" w:lineRule="auto"/>
        <w:rPr>
          <w:rFonts w:ascii="Times New Roman" w:hAnsi="Times New Roman" w:cs="Times New Roman"/>
          <w:sz w:val="24"/>
          <w:szCs w:val="24"/>
        </w:rPr>
      </w:pPr>
    </w:p>
    <w:p w14:paraId="12B9D192" w14:textId="77777777" w:rsidR="003B7F82" w:rsidRPr="00345746" w:rsidRDefault="003B7F82">
      <w:pPr>
        <w:rPr>
          <w:rFonts w:ascii="Times New Roman" w:hAnsi="Times New Roman" w:cs="Times New Roman"/>
          <w:b/>
          <w:bCs/>
          <w:sz w:val="24"/>
          <w:szCs w:val="24"/>
        </w:rPr>
      </w:pPr>
      <w:r w:rsidRPr="00345746">
        <w:rPr>
          <w:rFonts w:ascii="Times New Roman" w:hAnsi="Times New Roman" w:cs="Times New Roman"/>
          <w:b/>
          <w:bCs/>
          <w:sz w:val="24"/>
          <w:szCs w:val="24"/>
        </w:rPr>
        <w:br w:type="page"/>
      </w:r>
    </w:p>
    <w:p w14:paraId="0B93B95A" w14:textId="1C44B3FE" w:rsidR="00BA0FD1" w:rsidRPr="00556E75" w:rsidRDefault="00BA0FD1">
      <w:pPr>
        <w:rPr>
          <w:rFonts w:ascii="Times New Roman" w:hAnsi="Times New Roman" w:cs="Times New Roman"/>
          <w:b/>
          <w:bCs/>
          <w:sz w:val="24"/>
          <w:szCs w:val="24"/>
          <w:lang w:val="en-US"/>
        </w:rPr>
      </w:pPr>
      <w:proofErr w:type="spellStart"/>
      <w:r w:rsidRPr="00556E75">
        <w:rPr>
          <w:rFonts w:ascii="Times New Roman" w:hAnsi="Times New Roman" w:cs="Times New Roman"/>
          <w:b/>
          <w:bCs/>
          <w:sz w:val="24"/>
          <w:szCs w:val="24"/>
          <w:lang w:val="en-US"/>
        </w:rPr>
        <w:lastRenderedPageBreak/>
        <w:t>Bibliografia</w:t>
      </w:r>
      <w:proofErr w:type="spellEnd"/>
    </w:p>
    <w:p w14:paraId="164A3249" w14:textId="56EC2638" w:rsidR="004313A7" w:rsidRPr="004313A7" w:rsidRDefault="004313A7" w:rsidP="004313A7">
      <w:pPr>
        <w:jc w:val="both"/>
        <w:rPr>
          <w:rFonts w:ascii="Times New Roman" w:hAnsi="Times New Roman" w:cs="Times New Roman"/>
          <w:sz w:val="24"/>
          <w:szCs w:val="24"/>
          <w:lang w:val="en-US"/>
        </w:rPr>
      </w:pPr>
      <w:r w:rsidRPr="004313A7">
        <w:rPr>
          <w:rFonts w:ascii="Times New Roman" w:hAnsi="Times New Roman" w:cs="Times New Roman"/>
          <w:sz w:val="24"/>
          <w:szCs w:val="24"/>
          <w:lang w:val="en-US"/>
        </w:rPr>
        <w:t xml:space="preserve">A. </w:t>
      </w:r>
      <w:proofErr w:type="spellStart"/>
      <w:r w:rsidRPr="004313A7">
        <w:rPr>
          <w:rFonts w:ascii="Times New Roman" w:hAnsi="Times New Roman" w:cs="Times New Roman"/>
          <w:sz w:val="24"/>
          <w:szCs w:val="24"/>
          <w:lang w:val="en-US"/>
        </w:rPr>
        <w:t>Ancite-Jepifánova</w:t>
      </w:r>
      <w:proofErr w:type="spellEnd"/>
      <w:r w:rsidRPr="004313A7">
        <w:rPr>
          <w:rFonts w:ascii="Times New Roman" w:hAnsi="Times New Roman" w:cs="Times New Roman"/>
          <w:sz w:val="24"/>
          <w:szCs w:val="24"/>
          <w:lang w:val="en-US"/>
        </w:rPr>
        <w:t xml:space="preserve"> (2024), “Beyond the “Hybrid Attack” Paradigm: EU-Belarus Border Crisis and the Erosion of Asylum-Seeker Rights in Latvia, Lithuania and Poland</w:t>
      </w:r>
      <w:r>
        <w:rPr>
          <w:rFonts w:ascii="Times New Roman" w:hAnsi="Times New Roman" w:cs="Times New Roman"/>
          <w:sz w:val="24"/>
          <w:szCs w:val="24"/>
          <w:lang w:val="en-US"/>
        </w:rPr>
        <w:t>”</w:t>
      </w:r>
      <w:r w:rsidRPr="004313A7">
        <w:rPr>
          <w:rFonts w:ascii="Times New Roman" w:hAnsi="Times New Roman" w:cs="Times New Roman"/>
          <w:sz w:val="24"/>
          <w:szCs w:val="24"/>
          <w:lang w:val="en-US"/>
        </w:rPr>
        <w:t xml:space="preserve">, AVANT </w:t>
      </w:r>
      <w:proofErr w:type="gramStart"/>
      <w:r w:rsidRPr="004313A7">
        <w:rPr>
          <w:rFonts w:ascii="Times New Roman" w:hAnsi="Times New Roman" w:cs="Times New Roman"/>
          <w:sz w:val="24"/>
          <w:szCs w:val="24"/>
          <w:lang w:val="en-US"/>
        </w:rPr>
        <w:t>XV(</w:t>
      </w:r>
      <w:proofErr w:type="gramEnd"/>
      <w:r w:rsidRPr="004313A7">
        <w:rPr>
          <w:rFonts w:ascii="Times New Roman" w:hAnsi="Times New Roman" w:cs="Times New Roman"/>
          <w:sz w:val="24"/>
          <w:szCs w:val="24"/>
          <w:lang w:val="en-US"/>
        </w:rPr>
        <w:t xml:space="preserve">2), </w:t>
      </w:r>
      <w:hyperlink r:id="rId8" w:history="1">
        <w:r w:rsidRPr="004313A7">
          <w:rPr>
            <w:rStyle w:val="Hipervnculo"/>
            <w:rFonts w:ascii="Times New Roman" w:hAnsi="Times New Roman" w:cs="Times New Roman"/>
            <w:sz w:val="24"/>
            <w:szCs w:val="24"/>
            <w:lang w:val="en-US"/>
          </w:rPr>
          <w:t>https://doi.org/10.26913/ava2202405</w:t>
        </w:r>
      </w:hyperlink>
    </w:p>
    <w:p w14:paraId="413F62BA" w14:textId="33065DD3" w:rsidR="0058660D" w:rsidRPr="0058660D" w:rsidRDefault="0058660D" w:rsidP="00BD2DDB">
      <w:pPr>
        <w:jc w:val="both"/>
        <w:rPr>
          <w:rFonts w:ascii="Times New Roman" w:hAnsi="Times New Roman" w:cs="Times New Roman"/>
          <w:sz w:val="24"/>
          <w:szCs w:val="24"/>
          <w:lang w:val="en-US"/>
        </w:rPr>
      </w:pPr>
      <w:r w:rsidRPr="0058660D">
        <w:rPr>
          <w:rFonts w:ascii="Times New Roman" w:hAnsi="Times New Roman" w:cs="Times New Roman"/>
          <w:sz w:val="24"/>
          <w:szCs w:val="24"/>
          <w:lang w:val="en-GB"/>
        </w:rPr>
        <w:t>Alberto Alemanno, “Op-Ed: Europe’s Search for a Democratic Dividend between Enlargement and Treaty Reform”, EU Law Live, 12/02/2024</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disponível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w:t>
      </w:r>
      <w:proofErr w:type="spellEnd"/>
      <w:r w:rsidRPr="0058660D">
        <w:rPr>
          <w:rFonts w:ascii="Times New Roman" w:hAnsi="Times New Roman" w:cs="Times New Roman"/>
          <w:sz w:val="24"/>
          <w:szCs w:val="24"/>
          <w:lang w:val="en-GB"/>
        </w:rPr>
        <w:t xml:space="preserve"> </w:t>
      </w:r>
      <w:hyperlink r:id="rId9" w:history="1">
        <w:r w:rsidRPr="0058660D">
          <w:rPr>
            <w:rStyle w:val="Hipervnculo"/>
            <w:rFonts w:ascii="Times New Roman" w:hAnsi="Times New Roman" w:cs="Times New Roman"/>
            <w:sz w:val="24"/>
            <w:szCs w:val="24"/>
            <w:lang w:val="en-GB"/>
          </w:rPr>
          <w:t>https://eulawlive.com/op-ed-europes-search-for-a-democratic-dividend-between-enlargement-and-treaty-reform-by-alberto-alemanno/</w:t>
        </w:r>
      </w:hyperlink>
      <w:r w:rsidRPr="0058660D">
        <w:rPr>
          <w:rFonts w:ascii="Times New Roman" w:hAnsi="Times New Roman" w:cs="Times New Roman"/>
          <w:sz w:val="24"/>
          <w:szCs w:val="24"/>
          <w:lang w:val="en-GB"/>
        </w:rPr>
        <w:t xml:space="preserve"> </w:t>
      </w:r>
    </w:p>
    <w:p w14:paraId="6B9F3760" w14:textId="6E4752C6" w:rsidR="00D92724" w:rsidRDefault="00D92724"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András</w:t>
      </w:r>
      <w:r w:rsidRPr="00BC681C">
        <w:rPr>
          <w:rFonts w:ascii="Times New Roman" w:hAnsi="Times New Roman" w:cs="Times New Roman"/>
          <w:smallCaps/>
          <w:sz w:val="24"/>
          <w:szCs w:val="24"/>
          <w:lang w:val="en-GB"/>
        </w:rPr>
        <w:t xml:space="preserve"> </w:t>
      </w:r>
      <w:r w:rsidRPr="00D92724">
        <w:rPr>
          <w:rFonts w:ascii="Times New Roman" w:hAnsi="Times New Roman" w:cs="Times New Roman"/>
          <w:sz w:val="24"/>
          <w:szCs w:val="24"/>
          <w:lang w:val="en-GB"/>
        </w:rPr>
        <w:t>Sajó</w:t>
      </w:r>
      <w:r>
        <w:rPr>
          <w:rFonts w:ascii="Times New Roman" w:hAnsi="Times New Roman" w:cs="Times New Roman"/>
          <w:sz w:val="24"/>
          <w:szCs w:val="24"/>
          <w:lang w:val="en-GB"/>
        </w:rPr>
        <w:t xml:space="preserve"> (2005)</w:t>
      </w:r>
      <w:r w:rsidRPr="00BC681C">
        <w:rPr>
          <w:rFonts w:ascii="Times New Roman" w:hAnsi="Times New Roman" w:cs="Times New Roman"/>
          <w:sz w:val="24"/>
          <w:szCs w:val="24"/>
          <w:lang w:val="en-GB"/>
        </w:rPr>
        <w:t xml:space="preserve">, “Constitution without the constitutional moment: a view from the new member states”,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International Journal of Constitutional Law, Vol. 3, Issue 2-3, May</w:t>
      </w:r>
    </w:p>
    <w:p w14:paraId="0F42BE34" w14:textId="7FE20414" w:rsidR="00CD7554" w:rsidRDefault="00CD7554" w:rsidP="00BD2DDB">
      <w:pPr>
        <w:jc w:val="both"/>
        <w:rPr>
          <w:rFonts w:ascii="Times New Roman" w:hAnsi="Times New Roman" w:cs="Times New Roman"/>
          <w:sz w:val="24"/>
          <w:szCs w:val="24"/>
          <w:lang w:val="en-GB"/>
        </w:rPr>
      </w:pPr>
      <w:r w:rsidRPr="00CD7554">
        <w:rPr>
          <w:rFonts w:ascii="Times New Roman" w:hAnsi="Times New Roman" w:cs="Times New Roman"/>
          <w:sz w:val="24"/>
          <w:szCs w:val="24"/>
          <w:lang w:val="en-US"/>
        </w:rPr>
        <w:t>André Klip</w:t>
      </w:r>
      <w:r>
        <w:rPr>
          <w:rFonts w:ascii="Times New Roman" w:hAnsi="Times New Roman" w:cs="Times New Roman"/>
          <w:sz w:val="24"/>
          <w:szCs w:val="24"/>
          <w:lang w:val="en-US"/>
        </w:rPr>
        <w:t xml:space="preserve"> (2021)</w:t>
      </w:r>
      <w:r w:rsidRPr="00CD7554">
        <w:rPr>
          <w:rFonts w:ascii="Times New Roman" w:hAnsi="Times New Roman" w:cs="Times New Roman"/>
          <w:sz w:val="24"/>
          <w:szCs w:val="24"/>
          <w:lang w:val="en-US"/>
        </w:rPr>
        <w:t xml:space="preserve">, </w:t>
      </w:r>
      <w:r w:rsidRPr="00CD7554">
        <w:rPr>
          <w:rFonts w:ascii="Times New Roman" w:hAnsi="Times New Roman" w:cs="Times New Roman"/>
          <w:i/>
          <w:iCs/>
          <w:sz w:val="24"/>
          <w:szCs w:val="24"/>
          <w:lang w:val="en-US"/>
        </w:rPr>
        <w:t>European Criminal Law – An integrative approach</w:t>
      </w:r>
      <w:r w:rsidRPr="00CD7554">
        <w:rPr>
          <w:rFonts w:ascii="Times New Roman" w:hAnsi="Times New Roman" w:cs="Times New Roman"/>
          <w:sz w:val="24"/>
          <w:szCs w:val="24"/>
          <w:lang w:val="en-US"/>
        </w:rPr>
        <w:t xml:space="preserve"> (4</w:t>
      </w:r>
      <w:r>
        <w:rPr>
          <w:rFonts w:ascii="Times New Roman" w:hAnsi="Times New Roman" w:cs="Times New Roman"/>
          <w:sz w:val="24"/>
          <w:szCs w:val="24"/>
          <w:lang w:val="en-US"/>
        </w:rPr>
        <w:t xml:space="preserve">ª </w:t>
      </w:r>
      <w:proofErr w:type="spellStart"/>
      <w:r>
        <w:rPr>
          <w:rFonts w:ascii="Times New Roman" w:hAnsi="Times New Roman" w:cs="Times New Roman"/>
          <w:sz w:val="24"/>
          <w:szCs w:val="24"/>
          <w:lang w:val="en-US"/>
        </w:rPr>
        <w:t>Edição</w:t>
      </w:r>
      <w:proofErr w:type="spellEnd"/>
      <w:r>
        <w:rPr>
          <w:rFonts w:ascii="Times New Roman" w:hAnsi="Times New Roman" w:cs="Times New Roman"/>
          <w:sz w:val="24"/>
          <w:szCs w:val="24"/>
          <w:lang w:val="en-US"/>
        </w:rPr>
        <w:t>)</w:t>
      </w:r>
      <w:r w:rsidRPr="00CD7554">
        <w:rPr>
          <w:rFonts w:ascii="Times New Roman" w:hAnsi="Times New Roman" w:cs="Times New Roman"/>
          <w:sz w:val="24"/>
          <w:szCs w:val="24"/>
          <w:lang w:val="en-US"/>
        </w:rPr>
        <w:t xml:space="preserve">, </w:t>
      </w:r>
      <w:proofErr w:type="spellStart"/>
      <w:r w:rsidRPr="00CD7554">
        <w:rPr>
          <w:rFonts w:ascii="Times New Roman" w:hAnsi="Times New Roman" w:cs="Times New Roman"/>
          <w:sz w:val="24"/>
          <w:szCs w:val="24"/>
          <w:lang w:val="en-US"/>
        </w:rPr>
        <w:t>Intersentia</w:t>
      </w:r>
      <w:proofErr w:type="spellEnd"/>
      <w:r w:rsidRPr="00CD7554">
        <w:rPr>
          <w:rFonts w:ascii="Times New Roman" w:hAnsi="Times New Roman" w:cs="Times New Roman"/>
          <w:sz w:val="24"/>
          <w:szCs w:val="24"/>
          <w:lang w:val="en-US"/>
        </w:rPr>
        <w:t xml:space="preserve"> </w:t>
      </w:r>
    </w:p>
    <w:p w14:paraId="7936F1DD" w14:textId="6F749B7C" w:rsidR="00C55C68" w:rsidRDefault="00C55C68"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Andrea</w:t>
      </w:r>
      <w:r w:rsidRPr="00BC681C">
        <w:rPr>
          <w:rFonts w:ascii="Times New Roman" w:hAnsi="Times New Roman" w:cs="Times New Roman"/>
          <w:smallCaps/>
          <w:sz w:val="24"/>
          <w:szCs w:val="24"/>
          <w:lang w:val="en-GB"/>
        </w:rPr>
        <w:t xml:space="preserve"> </w:t>
      </w:r>
      <w:r w:rsidRPr="00C55C68">
        <w:rPr>
          <w:rFonts w:ascii="Times New Roman" w:hAnsi="Times New Roman" w:cs="Times New Roman"/>
          <w:sz w:val="24"/>
          <w:szCs w:val="24"/>
          <w:lang w:val="en-GB"/>
        </w:rPr>
        <w:t>Simoncini</w:t>
      </w:r>
      <w:r>
        <w:rPr>
          <w:rFonts w:ascii="Times New Roman" w:hAnsi="Times New Roman" w:cs="Times New Roman"/>
          <w:sz w:val="24"/>
          <w:szCs w:val="24"/>
          <w:lang w:val="en-GB"/>
        </w:rPr>
        <w:t xml:space="preserve"> (2014)</w:t>
      </w:r>
      <w:r w:rsidRPr="00BC681C">
        <w:rPr>
          <w:rFonts w:ascii="Times New Roman" w:hAnsi="Times New Roman" w:cs="Times New Roman"/>
          <w:sz w:val="24"/>
          <w:szCs w:val="24"/>
          <w:lang w:val="en-GB"/>
        </w:rPr>
        <w:t xml:space="preserve">, “The European Union as a ‘3-D’ Constitutional Space”,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Maastricht Journal of European and Comparative Law, Vol. 21, No. 2</w:t>
      </w:r>
    </w:p>
    <w:p w14:paraId="688E39E7" w14:textId="6456A906" w:rsidR="00E02FEA" w:rsidRDefault="00E02FEA"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Armin</w:t>
      </w:r>
      <w:r w:rsidRPr="00BC681C">
        <w:rPr>
          <w:rFonts w:ascii="Times New Roman" w:hAnsi="Times New Roman" w:cs="Times New Roman"/>
          <w:smallCaps/>
          <w:sz w:val="24"/>
          <w:szCs w:val="24"/>
          <w:lang w:val="en-GB"/>
        </w:rPr>
        <w:t xml:space="preserve"> </w:t>
      </w:r>
      <w:r w:rsidRPr="00E02FEA">
        <w:rPr>
          <w:rFonts w:ascii="Times New Roman" w:hAnsi="Times New Roman" w:cs="Times New Roman"/>
          <w:sz w:val="24"/>
          <w:szCs w:val="24"/>
          <w:lang w:val="en-GB"/>
        </w:rPr>
        <w:t xml:space="preserve">Von </w:t>
      </w:r>
      <w:proofErr w:type="spellStart"/>
      <w:r w:rsidRPr="00E02FEA">
        <w:rPr>
          <w:rFonts w:ascii="Times New Roman" w:hAnsi="Times New Roman" w:cs="Times New Roman"/>
          <w:sz w:val="24"/>
          <w:szCs w:val="24"/>
          <w:lang w:val="en-GB"/>
        </w:rPr>
        <w:t>Bogdand</w:t>
      </w:r>
      <w:r>
        <w:rPr>
          <w:rFonts w:ascii="Times New Roman" w:hAnsi="Times New Roman" w:cs="Times New Roman"/>
          <w:sz w:val="24"/>
          <w:szCs w:val="24"/>
          <w:lang w:val="en-GB"/>
        </w:rPr>
        <w:t>y</w:t>
      </w:r>
      <w:proofErr w:type="spellEnd"/>
      <w:r>
        <w:rPr>
          <w:rFonts w:ascii="Times New Roman" w:hAnsi="Times New Roman" w:cs="Times New Roman"/>
          <w:sz w:val="24"/>
          <w:szCs w:val="24"/>
          <w:lang w:val="en-GB"/>
        </w:rPr>
        <w:t xml:space="preserve"> (2005)</w:t>
      </w:r>
      <w:r w:rsidRPr="00BC681C">
        <w:rPr>
          <w:rFonts w:ascii="Times New Roman" w:hAnsi="Times New Roman" w:cs="Times New Roman"/>
          <w:sz w:val="24"/>
          <w:szCs w:val="24"/>
          <w:lang w:val="en-GB"/>
        </w:rPr>
        <w:t xml:space="preserve">, “The European constitution and European identity: Text and subtext of the Treaty establishing a Constitution for Europe”,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International Journal of Constitutional Law, Vol. 3, Issue 2-3, May</w:t>
      </w:r>
    </w:p>
    <w:p w14:paraId="2C7FB480" w14:textId="7CF2AAA1" w:rsidR="007E0E61" w:rsidRDefault="007E0E61" w:rsidP="007E0E61">
      <w:r w:rsidRPr="007E3A83">
        <w:rPr>
          <w:rFonts w:ascii="Times New Roman" w:hAnsi="Times New Roman" w:cs="Times New Roman"/>
          <w:bCs/>
          <w:sz w:val="24"/>
          <w:szCs w:val="24"/>
        </w:rPr>
        <w:t>Carolina</w:t>
      </w:r>
      <w:r w:rsidRPr="007E3A83">
        <w:rPr>
          <w:rFonts w:ascii="Times New Roman" w:hAnsi="Times New Roman" w:cs="Times New Roman"/>
          <w:bCs/>
          <w:smallCaps/>
          <w:sz w:val="24"/>
          <w:szCs w:val="24"/>
        </w:rPr>
        <w:t xml:space="preserve"> </w:t>
      </w:r>
      <w:r w:rsidRPr="007E0E61">
        <w:rPr>
          <w:rFonts w:ascii="Times New Roman" w:hAnsi="Times New Roman" w:cs="Times New Roman"/>
          <w:bCs/>
          <w:sz w:val="24"/>
          <w:szCs w:val="24"/>
        </w:rPr>
        <w:t>Pereira</w:t>
      </w:r>
      <w:r w:rsidR="00673321">
        <w:rPr>
          <w:rFonts w:ascii="Times New Roman" w:hAnsi="Times New Roman" w:cs="Times New Roman"/>
          <w:bCs/>
          <w:sz w:val="24"/>
          <w:szCs w:val="24"/>
        </w:rPr>
        <w:t xml:space="preserve"> (2012)</w:t>
      </w:r>
      <w:r w:rsidRPr="007E3A83">
        <w:rPr>
          <w:rFonts w:ascii="Times New Roman" w:hAnsi="Times New Roman" w:cs="Times New Roman"/>
          <w:bCs/>
          <w:sz w:val="24"/>
          <w:szCs w:val="24"/>
        </w:rPr>
        <w:t xml:space="preserve">, “Tratado de Lisboa: o transconstitucionalismo como ferramenta à harmonização”, </w:t>
      </w:r>
      <w:r w:rsidRPr="007E3A83">
        <w:rPr>
          <w:rFonts w:ascii="Times New Roman" w:hAnsi="Times New Roman" w:cs="Times New Roman"/>
          <w:bCs/>
          <w:i/>
          <w:sz w:val="24"/>
          <w:szCs w:val="24"/>
        </w:rPr>
        <w:t>in</w:t>
      </w:r>
      <w:r w:rsidRPr="007E3A83">
        <w:rPr>
          <w:rFonts w:ascii="Times New Roman" w:hAnsi="Times New Roman" w:cs="Times New Roman"/>
          <w:bCs/>
          <w:sz w:val="24"/>
          <w:szCs w:val="24"/>
        </w:rPr>
        <w:t xml:space="preserve"> Revista do Instituto do Direito Brasileiro, Ano 1, nº 12</w:t>
      </w:r>
    </w:p>
    <w:p w14:paraId="5E72B6B0" w14:textId="509E24F0" w:rsidR="009D4097" w:rsidRPr="009D4097" w:rsidRDefault="009D4097" w:rsidP="009D4097">
      <w:pPr>
        <w:rPr>
          <w:lang w:val="en-US"/>
        </w:rPr>
      </w:pPr>
      <w:proofErr w:type="spellStart"/>
      <w:r w:rsidRPr="00BC681C">
        <w:rPr>
          <w:rFonts w:ascii="Times New Roman" w:hAnsi="Times New Roman" w:cs="Times New Roman"/>
          <w:sz w:val="24"/>
          <w:szCs w:val="24"/>
          <w:lang w:val="en-GB"/>
        </w:rPr>
        <w:t>Davor</w:t>
      </w:r>
      <w:proofErr w:type="spellEnd"/>
      <w:r w:rsidRPr="00BC681C">
        <w:rPr>
          <w:rFonts w:ascii="Times New Roman" w:hAnsi="Times New Roman" w:cs="Times New Roman"/>
          <w:smallCaps/>
          <w:sz w:val="24"/>
          <w:szCs w:val="24"/>
          <w:lang w:val="en-GB"/>
        </w:rPr>
        <w:t xml:space="preserve"> </w:t>
      </w:r>
      <w:proofErr w:type="spellStart"/>
      <w:r w:rsidRPr="009D4097">
        <w:rPr>
          <w:rFonts w:ascii="Times New Roman" w:hAnsi="Times New Roman" w:cs="Times New Roman"/>
          <w:sz w:val="24"/>
          <w:szCs w:val="24"/>
          <w:lang w:val="en-GB"/>
        </w:rPr>
        <w:t>Jančić</w:t>
      </w:r>
      <w:proofErr w:type="spellEnd"/>
      <w:r>
        <w:rPr>
          <w:rFonts w:ascii="Times New Roman" w:hAnsi="Times New Roman" w:cs="Times New Roman"/>
          <w:sz w:val="24"/>
          <w:szCs w:val="24"/>
          <w:lang w:val="en-GB"/>
        </w:rPr>
        <w:t xml:space="preserve"> (2012)</w:t>
      </w:r>
      <w:r w:rsidRPr="00BC681C">
        <w:rPr>
          <w:rFonts w:ascii="Times New Roman" w:hAnsi="Times New Roman" w:cs="Times New Roman"/>
          <w:sz w:val="24"/>
          <w:szCs w:val="24"/>
          <w:lang w:val="en-GB"/>
        </w:rPr>
        <w:t xml:space="preserve">, “Representative Democracy across levels? National Parliaments and EU Constitutionalism”,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Croatian Yearbook of European Law and Policy, Vol. 8</w:t>
      </w:r>
    </w:p>
    <w:p w14:paraId="3836A80A" w14:textId="5896B11F" w:rsidR="007159ED" w:rsidRDefault="007159ED" w:rsidP="007159ED">
      <w:pPr>
        <w:rPr>
          <w:rFonts w:ascii="Times New Roman" w:hAnsi="Times New Roman" w:cs="Times New Roman"/>
          <w:sz w:val="24"/>
          <w:szCs w:val="24"/>
          <w:lang w:val="en-GB"/>
        </w:rPr>
      </w:pPr>
      <w:r w:rsidRPr="00BC681C">
        <w:rPr>
          <w:rFonts w:ascii="Times New Roman" w:hAnsi="Times New Roman" w:cs="Times New Roman"/>
          <w:sz w:val="24"/>
          <w:szCs w:val="24"/>
          <w:lang w:val="en-GB"/>
        </w:rPr>
        <w:t>Denis</w:t>
      </w:r>
      <w:r w:rsidRPr="00BC681C">
        <w:rPr>
          <w:rFonts w:ascii="Times New Roman" w:hAnsi="Times New Roman" w:cs="Times New Roman"/>
          <w:smallCaps/>
          <w:sz w:val="24"/>
          <w:szCs w:val="24"/>
          <w:lang w:val="en-GB"/>
        </w:rPr>
        <w:t xml:space="preserve"> </w:t>
      </w:r>
      <w:proofErr w:type="spellStart"/>
      <w:r w:rsidRPr="007159ED">
        <w:rPr>
          <w:rFonts w:ascii="Times New Roman" w:hAnsi="Times New Roman" w:cs="Times New Roman"/>
          <w:sz w:val="24"/>
          <w:szCs w:val="24"/>
          <w:lang w:val="en-GB"/>
        </w:rPr>
        <w:t>Preshova</w:t>
      </w:r>
      <w:proofErr w:type="spellEnd"/>
      <w:r w:rsidR="00673321">
        <w:rPr>
          <w:rFonts w:ascii="Times New Roman" w:hAnsi="Times New Roman" w:cs="Times New Roman"/>
          <w:sz w:val="24"/>
          <w:szCs w:val="24"/>
          <w:lang w:val="en-GB"/>
        </w:rPr>
        <w:t xml:space="preserve"> (2012)</w:t>
      </w:r>
      <w:r w:rsidRPr="00BC681C">
        <w:rPr>
          <w:rFonts w:ascii="Times New Roman" w:hAnsi="Times New Roman" w:cs="Times New Roman"/>
          <w:sz w:val="24"/>
          <w:szCs w:val="24"/>
          <w:lang w:val="en-GB"/>
        </w:rPr>
        <w:t xml:space="preserve">, “Battleground or Meeting point? Respect for National Identities in the European Union – Article 4(2) of the Treaty on European Union”,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Croatian Yearbook of European Law and Policy, Vol. 8</w:t>
      </w:r>
    </w:p>
    <w:p w14:paraId="577F4A27" w14:textId="6ACCCE0D" w:rsidR="00056383" w:rsidRPr="00056383" w:rsidRDefault="00056383" w:rsidP="007159ED">
      <w:pPr>
        <w:rPr>
          <w:rFonts w:ascii="Times New Roman" w:hAnsi="Times New Roman" w:cs="Times New Roman"/>
          <w:sz w:val="24"/>
          <w:szCs w:val="24"/>
          <w:lang w:val="en-US"/>
        </w:rPr>
      </w:pPr>
      <w:r w:rsidRPr="00056383">
        <w:rPr>
          <w:rFonts w:ascii="Times New Roman" w:hAnsi="Times New Roman" w:cs="Times New Roman"/>
          <w:sz w:val="24"/>
          <w:szCs w:val="24"/>
          <w:lang w:val="en-GB"/>
        </w:rPr>
        <w:t>Elspeth Guild</w:t>
      </w:r>
      <w:r w:rsidR="00F749D9">
        <w:rPr>
          <w:rFonts w:ascii="Times New Roman" w:hAnsi="Times New Roman" w:cs="Times New Roman"/>
          <w:sz w:val="24"/>
          <w:szCs w:val="24"/>
          <w:lang w:val="en-GB"/>
        </w:rPr>
        <w:t xml:space="preserve"> (2024)</w:t>
      </w:r>
      <w:r w:rsidRPr="00056383">
        <w:rPr>
          <w:rFonts w:ascii="Times New Roman" w:hAnsi="Times New Roman" w:cs="Times New Roman"/>
          <w:sz w:val="24"/>
          <w:szCs w:val="24"/>
          <w:lang w:val="en-GB"/>
        </w:rPr>
        <w:t>, “Frontex and access to justice: The need for effective monitoring mechanisms”, European Law Journal [DOI: 10.1111/eulj.12501]</w:t>
      </w:r>
    </w:p>
    <w:p w14:paraId="2DDB033D" w14:textId="58C430B4" w:rsidR="003D6A83" w:rsidRDefault="003D6A83" w:rsidP="007159ED">
      <w:pPr>
        <w:rPr>
          <w:rFonts w:ascii="Times New Roman" w:hAnsi="Times New Roman" w:cs="Times New Roman"/>
          <w:bCs/>
          <w:sz w:val="24"/>
          <w:szCs w:val="24"/>
          <w:lang w:val="en-GB"/>
        </w:rPr>
      </w:pPr>
      <w:r w:rsidRPr="00BC681C">
        <w:rPr>
          <w:rFonts w:ascii="Times New Roman" w:hAnsi="Times New Roman" w:cs="Times New Roman"/>
          <w:bCs/>
          <w:sz w:val="24"/>
          <w:szCs w:val="24"/>
          <w:lang w:val="en-GB"/>
        </w:rPr>
        <w:t xml:space="preserve">Federico </w:t>
      </w:r>
      <w:r w:rsidRPr="003D6A83">
        <w:rPr>
          <w:rFonts w:ascii="Times New Roman" w:hAnsi="Times New Roman" w:cs="Times New Roman"/>
          <w:bCs/>
          <w:sz w:val="24"/>
          <w:szCs w:val="24"/>
          <w:lang w:val="en-GB"/>
        </w:rPr>
        <w:t>Fabbrini</w:t>
      </w:r>
      <w:r>
        <w:rPr>
          <w:rFonts w:ascii="Times New Roman" w:hAnsi="Times New Roman" w:cs="Times New Roman"/>
          <w:bCs/>
          <w:sz w:val="24"/>
          <w:szCs w:val="24"/>
          <w:lang w:val="en-GB"/>
        </w:rPr>
        <w:t xml:space="preserve"> </w:t>
      </w:r>
      <w:r w:rsidRPr="00BC681C">
        <w:rPr>
          <w:rFonts w:ascii="Times New Roman" w:hAnsi="Times New Roman" w:cs="Times New Roman"/>
          <w:bCs/>
          <w:sz w:val="24"/>
          <w:szCs w:val="24"/>
          <w:lang w:val="en-GB"/>
        </w:rPr>
        <w:t>and András</w:t>
      </w:r>
      <w:r w:rsidRPr="00BC681C">
        <w:rPr>
          <w:rFonts w:ascii="Times New Roman" w:hAnsi="Times New Roman" w:cs="Times New Roman"/>
          <w:bCs/>
          <w:smallCaps/>
          <w:sz w:val="24"/>
          <w:szCs w:val="24"/>
          <w:lang w:val="en-GB"/>
        </w:rPr>
        <w:t xml:space="preserve"> </w:t>
      </w:r>
      <w:r w:rsidRPr="003D6A83">
        <w:rPr>
          <w:rFonts w:ascii="Times New Roman" w:hAnsi="Times New Roman" w:cs="Times New Roman"/>
          <w:bCs/>
          <w:sz w:val="24"/>
          <w:szCs w:val="24"/>
          <w:lang w:val="en-GB"/>
        </w:rPr>
        <w:t>Sajó</w:t>
      </w:r>
      <w:r w:rsidR="00673321">
        <w:rPr>
          <w:rFonts w:ascii="Times New Roman" w:hAnsi="Times New Roman" w:cs="Times New Roman"/>
          <w:bCs/>
          <w:sz w:val="24"/>
          <w:szCs w:val="24"/>
          <w:lang w:val="en-GB"/>
        </w:rPr>
        <w:t xml:space="preserve"> (2019)</w:t>
      </w:r>
      <w:r w:rsidRPr="00BC681C">
        <w:rPr>
          <w:rFonts w:ascii="Times New Roman" w:hAnsi="Times New Roman" w:cs="Times New Roman"/>
          <w:bCs/>
          <w:sz w:val="24"/>
          <w:szCs w:val="24"/>
          <w:lang w:val="en-GB"/>
        </w:rPr>
        <w:t xml:space="preserve">, “The dangers of constitutional identity”, </w:t>
      </w:r>
      <w:r w:rsidRPr="00BC681C">
        <w:rPr>
          <w:rFonts w:ascii="Times New Roman" w:hAnsi="Times New Roman" w:cs="Times New Roman"/>
          <w:bCs/>
          <w:i/>
          <w:sz w:val="24"/>
          <w:szCs w:val="24"/>
          <w:lang w:val="en-GB"/>
        </w:rPr>
        <w:t>in</w:t>
      </w:r>
      <w:r w:rsidRPr="00BC681C">
        <w:rPr>
          <w:rFonts w:ascii="Times New Roman" w:hAnsi="Times New Roman" w:cs="Times New Roman"/>
          <w:bCs/>
          <w:sz w:val="24"/>
          <w:szCs w:val="24"/>
          <w:lang w:val="en-GB"/>
        </w:rPr>
        <w:t xml:space="preserve"> European Law Journal, Vol. 25, Issue 4, July</w:t>
      </w:r>
    </w:p>
    <w:p w14:paraId="5D9A4120" w14:textId="32DE08FB" w:rsidR="000A3733" w:rsidRPr="000A3733" w:rsidRDefault="000A3733" w:rsidP="007159ED">
      <w:pPr>
        <w:rPr>
          <w:rFonts w:ascii="Times New Roman" w:hAnsi="Times New Roman" w:cs="Times New Roman"/>
          <w:bCs/>
          <w:sz w:val="24"/>
          <w:szCs w:val="24"/>
          <w:lang w:val="en-US"/>
        </w:rPr>
      </w:pPr>
      <w:r w:rsidRPr="000A3733">
        <w:rPr>
          <w:rFonts w:ascii="Times New Roman" w:hAnsi="Times New Roman" w:cs="Times New Roman"/>
          <w:bCs/>
          <w:sz w:val="24"/>
          <w:szCs w:val="24"/>
          <w:lang w:val="en-US"/>
        </w:rPr>
        <w:t xml:space="preserve">G. </w:t>
      </w:r>
      <w:proofErr w:type="spellStart"/>
      <w:r w:rsidRPr="000A3733">
        <w:rPr>
          <w:rFonts w:ascii="Times New Roman" w:hAnsi="Times New Roman" w:cs="Times New Roman"/>
          <w:bCs/>
          <w:sz w:val="24"/>
          <w:szCs w:val="24"/>
          <w:lang w:val="en-US"/>
        </w:rPr>
        <w:t>Ovacık</w:t>
      </w:r>
      <w:proofErr w:type="spellEnd"/>
      <w:r w:rsidRPr="000A3733">
        <w:rPr>
          <w:rFonts w:ascii="Times New Roman" w:hAnsi="Times New Roman" w:cs="Times New Roman"/>
          <w:bCs/>
          <w:sz w:val="24"/>
          <w:szCs w:val="24"/>
          <w:lang w:val="en-US"/>
        </w:rPr>
        <w:t xml:space="preserve">, M. </w:t>
      </w:r>
      <w:proofErr w:type="spellStart"/>
      <w:r w:rsidRPr="000A3733">
        <w:rPr>
          <w:rFonts w:ascii="Times New Roman" w:hAnsi="Times New Roman" w:cs="Times New Roman"/>
          <w:bCs/>
          <w:sz w:val="24"/>
          <w:szCs w:val="24"/>
          <w:lang w:val="en-US"/>
        </w:rPr>
        <w:t>Ineli-Ciger</w:t>
      </w:r>
      <w:proofErr w:type="spellEnd"/>
      <w:r w:rsidRPr="000A3733">
        <w:rPr>
          <w:rFonts w:ascii="Times New Roman" w:hAnsi="Times New Roman" w:cs="Times New Roman"/>
          <w:bCs/>
          <w:sz w:val="24"/>
          <w:szCs w:val="24"/>
          <w:lang w:val="en-US"/>
        </w:rPr>
        <w:t xml:space="preserve"> and O. Ulusoy</w:t>
      </w:r>
      <w:r>
        <w:rPr>
          <w:rFonts w:ascii="Times New Roman" w:hAnsi="Times New Roman" w:cs="Times New Roman"/>
          <w:bCs/>
          <w:sz w:val="24"/>
          <w:szCs w:val="24"/>
          <w:lang w:val="en-US"/>
        </w:rPr>
        <w:t xml:space="preserve"> </w:t>
      </w:r>
      <w:r w:rsidRPr="000A3733">
        <w:rPr>
          <w:rFonts w:ascii="Times New Roman" w:hAnsi="Times New Roman" w:cs="Times New Roman"/>
          <w:bCs/>
          <w:sz w:val="24"/>
          <w:szCs w:val="24"/>
          <w:lang w:val="en-US"/>
        </w:rPr>
        <w:t>(2024)</w:t>
      </w:r>
      <w:r>
        <w:rPr>
          <w:rFonts w:ascii="Times New Roman" w:hAnsi="Times New Roman" w:cs="Times New Roman"/>
          <w:bCs/>
          <w:sz w:val="24"/>
          <w:szCs w:val="24"/>
          <w:lang w:val="en-US"/>
        </w:rPr>
        <w:t>,</w:t>
      </w:r>
      <w:r w:rsidRPr="000A3733">
        <w:rPr>
          <w:rFonts w:ascii="Times New Roman" w:hAnsi="Times New Roman" w:cs="Times New Roman"/>
          <w:bCs/>
          <w:sz w:val="24"/>
          <w:szCs w:val="24"/>
          <w:lang w:val="en-US"/>
        </w:rPr>
        <w:t xml:space="preserve"> “Taking Stock of the EU-Turkey Statement in 2024”, 26 </w:t>
      </w:r>
      <w:r w:rsidRPr="000A3733">
        <w:rPr>
          <w:rFonts w:ascii="Times New Roman" w:hAnsi="Times New Roman" w:cs="Times New Roman"/>
          <w:bCs/>
          <w:i/>
          <w:iCs/>
          <w:sz w:val="24"/>
          <w:szCs w:val="24"/>
          <w:lang w:val="en-US"/>
        </w:rPr>
        <w:t>European Journal of Migration and Law</w:t>
      </w:r>
    </w:p>
    <w:p w14:paraId="6522D3A4" w14:textId="371E0E35" w:rsidR="007E0E61" w:rsidRPr="007159ED" w:rsidRDefault="007E0E61" w:rsidP="007159ED">
      <w:pPr>
        <w:rPr>
          <w:lang w:val="en-US"/>
        </w:rPr>
      </w:pPr>
      <w:r w:rsidRPr="00BC681C">
        <w:rPr>
          <w:rFonts w:ascii="Times New Roman" w:hAnsi="Times New Roman" w:cs="Times New Roman"/>
          <w:sz w:val="24"/>
          <w:szCs w:val="24"/>
          <w:lang w:val="en-GB"/>
        </w:rPr>
        <w:t>Gareth</w:t>
      </w:r>
      <w:r w:rsidRPr="00BC681C">
        <w:rPr>
          <w:rFonts w:ascii="Times New Roman" w:hAnsi="Times New Roman" w:cs="Times New Roman"/>
          <w:smallCaps/>
          <w:sz w:val="24"/>
          <w:szCs w:val="24"/>
          <w:lang w:val="en-GB"/>
        </w:rPr>
        <w:t xml:space="preserve"> </w:t>
      </w:r>
      <w:r w:rsidRPr="007E0E61">
        <w:rPr>
          <w:rFonts w:ascii="Times New Roman" w:hAnsi="Times New Roman" w:cs="Times New Roman"/>
          <w:sz w:val="24"/>
          <w:szCs w:val="24"/>
          <w:lang w:val="en-GB"/>
        </w:rPr>
        <w:t>Davies</w:t>
      </w:r>
      <w:r w:rsidR="00673321">
        <w:rPr>
          <w:rFonts w:ascii="Times New Roman" w:hAnsi="Times New Roman" w:cs="Times New Roman"/>
          <w:sz w:val="24"/>
          <w:szCs w:val="24"/>
          <w:lang w:val="en-GB"/>
        </w:rPr>
        <w:t xml:space="preserve"> (2012)</w:t>
      </w:r>
      <w:r w:rsidRPr="00BC681C">
        <w:rPr>
          <w:rFonts w:ascii="Times New Roman" w:hAnsi="Times New Roman" w:cs="Times New Roman"/>
          <w:sz w:val="24"/>
          <w:szCs w:val="24"/>
          <w:lang w:val="en-GB"/>
        </w:rPr>
        <w:t xml:space="preserve">, “Constitutional Disagreement in Europe and the Search for Pluralism”,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Matej </w:t>
      </w:r>
      <w:r w:rsidRPr="007E0E61">
        <w:rPr>
          <w:rFonts w:ascii="Times New Roman" w:hAnsi="Times New Roman" w:cs="Times New Roman"/>
          <w:sz w:val="24"/>
          <w:szCs w:val="24"/>
          <w:lang w:val="en-GB"/>
        </w:rPr>
        <w:t>Avbelj</w:t>
      </w:r>
      <w:r>
        <w:rPr>
          <w:rFonts w:ascii="Times New Roman" w:hAnsi="Times New Roman" w:cs="Times New Roman"/>
          <w:sz w:val="24"/>
          <w:szCs w:val="24"/>
          <w:lang w:val="en-GB"/>
        </w:rPr>
        <w:t xml:space="preserve"> and </w:t>
      </w:r>
      <w:r w:rsidRPr="00BC681C">
        <w:rPr>
          <w:rFonts w:ascii="Times New Roman" w:hAnsi="Times New Roman" w:cs="Times New Roman"/>
          <w:sz w:val="24"/>
          <w:szCs w:val="24"/>
          <w:lang w:val="en-GB"/>
        </w:rPr>
        <w:t xml:space="preserve">Jan </w:t>
      </w:r>
      <w:r w:rsidRPr="007E0E61">
        <w:rPr>
          <w:rFonts w:ascii="Times New Roman" w:hAnsi="Times New Roman" w:cs="Times New Roman"/>
          <w:sz w:val="24"/>
          <w:szCs w:val="24"/>
          <w:lang w:val="en-GB"/>
        </w:rPr>
        <w:t>Komárek</w:t>
      </w:r>
      <w:r w:rsidRPr="00BC681C">
        <w:rPr>
          <w:rFonts w:ascii="Times New Roman" w:hAnsi="Times New Roman" w:cs="Times New Roman"/>
          <w:sz w:val="24"/>
          <w:szCs w:val="24"/>
          <w:lang w:val="en-GB"/>
        </w:rPr>
        <w:t xml:space="preserve">, </w:t>
      </w:r>
      <w:r w:rsidRPr="00BC681C">
        <w:rPr>
          <w:rFonts w:ascii="Times New Roman" w:hAnsi="Times New Roman" w:cs="Times New Roman"/>
          <w:i/>
          <w:sz w:val="24"/>
          <w:szCs w:val="24"/>
          <w:lang w:val="en-GB"/>
        </w:rPr>
        <w:t>Constitutional Pluralism in the European Union and Beyond</w:t>
      </w:r>
      <w:r w:rsidRPr="00BC681C">
        <w:rPr>
          <w:rFonts w:ascii="Times New Roman" w:hAnsi="Times New Roman" w:cs="Times New Roman"/>
          <w:sz w:val="24"/>
          <w:szCs w:val="24"/>
          <w:lang w:val="en-GB"/>
        </w:rPr>
        <w:t>, Hart Publishing</w:t>
      </w:r>
    </w:p>
    <w:p w14:paraId="1708CF8E" w14:textId="4EDF535F" w:rsidR="00792148" w:rsidRDefault="00792148"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 xml:space="preserve">Gerhard </w:t>
      </w:r>
      <w:r w:rsidRPr="00792148">
        <w:rPr>
          <w:rFonts w:ascii="Times New Roman" w:hAnsi="Times New Roman" w:cs="Times New Roman"/>
          <w:sz w:val="24"/>
          <w:szCs w:val="24"/>
          <w:lang w:val="en-GB"/>
        </w:rPr>
        <w:t xml:space="preserve">van der </w:t>
      </w:r>
      <w:proofErr w:type="spellStart"/>
      <w:r w:rsidRPr="00792148">
        <w:rPr>
          <w:rFonts w:ascii="Times New Roman" w:hAnsi="Times New Roman" w:cs="Times New Roman"/>
          <w:sz w:val="24"/>
          <w:szCs w:val="24"/>
          <w:lang w:val="en-GB"/>
        </w:rPr>
        <w:t>Schyff</w:t>
      </w:r>
      <w:proofErr w:type="spellEnd"/>
      <w:r w:rsidR="003F57DB">
        <w:rPr>
          <w:rFonts w:ascii="Times New Roman" w:hAnsi="Times New Roman" w:cs="Times New Roman"/>
          <w:sz w:val="24"/>
          <w:szCs w:val="24"/>
          <w:lang w:val="en-GB"/>
        </w:rPr>
        <w:t xml:space="preserve"> (2016)</w:t>
      </w:r>
      <w:r w:rsidRPr="00BC681C">
        <w:rPr>
          <w:rFonts w:ascii="Times New Roman" w:hAnsi="Times New Roman" w:cs="Times New Roman"/>
          <w:sz w:val="24"/>
          <w:szCs w:val="24"/>
          <w:lang w:val="en-GB"/>
        </w:rPr>
        <w:t xml:space="preserve">, “Exploring Member State and European Union Constitutional Identity”, </w:t>
      </w:r>
      <w:r w:rsidRPr="00BC681C">
        <w:rPr>
          <w:rFonts w:ascii="Times New Roman" w:hAnsi="Times New Roman" w:cs="Times New Roman"/>
          <w:i/>
          <w:iCs/>
          <w:sz w:val="24"/>
          <w:szCs w:val="24"/>
          <w:lang w:val="en-GB"/>
        </w:rPr>
        <w:t xml:space="preserve">in </w:t>
      </w:r>
      <w:r w:rsidRPr="00BC681C">
        <w:rPr>
          <w:rFonts w:ascii="Times New Roman" w:hAnsi="Times New Roman" w:cs="Times New Roman"/>
          <w:sz w:val="24"/>
          <w:szCs w:val="24"/>
          <w:lang w:val="en-GB"/>
        </w:rPr>
        <w:t>European Public Law, Vol. 22, Issue 2</w:t>
      </w:r>
    </w:p>
    <w:p w14:paraId="2B5D767E" w14:textId="2AF09BDE" w:rsidR="00E30A3A" w:rsidRDefault="00E30A3A"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Giuseppe</w:t>
      </w:r>
      <w:r w:rsidRPr="00BC681C">
        <w:rPr>
          <w:rFonts w:ascii="Times New Roman" w:hAnsi="Times New Roman" w:cs="Times New Roman"/>
          <w:smallCaps/>
          <w:sz w:val="24"/>
          <w:szCs w:val="24"/>
          <w:lang w:val="en-GB"/>
        </w:rPr>
        <w:t xml:space="preserve"> </w:t>
      </w:r>
      <w:r w:rsidRPr="00E30A3A">
        <w:rPr>
          <w:rFonts w:ascii="Times New Roman" w:hAnsi="Times New Roman" w:cs="Times New Roman"/>
          <w:sz w:val="24"/>
          <w:szCs w:val="24"/>
          <w:lang w:val="en-GB"/>
        </w:rPr>
        <w:t>Martinico</w:t>
      </w:r>
      <w:r>
        <w:rPr>
          <w:rFonts w:ascii="Times New Roman" w:hAnsi="Times New Roman" w:cs="Times New Roman"/>
          <w:sz w:val="24"/>
          <w:szCs w:val="24"/>
          <w:lang w:val="en-GB"/>
        </w:rPr>
        <w:t xml:space="preserve"> (2007)</w:t>
      </w:r>
      <w:r w:rsidRPr="00BC681C">
        <w:rPr>
          <w:rFonts w:ascii="Times New Roman" w:hAnsi="Times New Roman" w:cs="Times New Roman"/>
          <w:sz w:val="24"/>
          <w:szCs w:val="24"/>
          <w:lang w:val="en-GB"/>
        </w:rPr>
        <w:t xml:space="preserve">, “Complexity and Cultural Sources of Law in the EU Context: From the Multilevel Constitutionalism to the Constitutional Synallagma”,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German Law Journal, Vol. 08, No. 03</w:t>
      </w:r>
    </w:p>
    <w:p w14:paraId="17E93768" w14:textId="7BC8B31B" w:rsidR="009D4097" w:rsidRPr="009D4097" w:rsidRDefault="009D4097" w:rsidP="009D4097">
      <w:pPr>
        <w:rPr>
          <w:lang w:val="en-US"/>
        </w:rPr>
      </w:pPr>
      <w:r w:rsidRPr="00BC681C">
        <w:rPr>
          <w:rFonts w:ascii="Times New Roman" w:hAnsi="Times New Roman" w:cs="Times New Roman"/>
          <w:sz w:val="24"/>
          <w:szCs w:val="24"/>
          <w:lang w:val="en-GB"/>
        </w:rPr>
        <w:lastRenderedPageBreak/>
        <w:t>Giuseppe</w:t>
      </w:r>
      <w:r w:rsidRPr="00BC681C">
        <w:rPr>
          <w:rFonts w:ascii="Times New Roman" w:hAnsi="Times New Roman" w:cs="Times New Roman"/>
          <w:smallCaps/>
          <w:sz w:val="24"/>
          <w:szCs w:val="24"/>
          <w:lang w:val="en-GB"/>
        </w:rPr>
        <w:t xml:space="preserve"> </w:t>
      </w:r>
      <w:r w:rsidRPr="009D4097">
        <w:rPr>
          <w:rFonts w:ascii="Times New Roman" w:hAnsi="Times New Roman" w:cs="Times New Roman"/>
          <w:sz w:val="24"/>
          <w:szCs w:val="24"/>
          <w:lang w:val="en-GB"/>
        </w:rPr>
        <w:t>Martinico</w:t>
      </w:r>
      <w:r>
        <w:rPr>
          <w:rFonts w:ascii="Times New Roman" w:hAnsi="Times New Roman" w:cs="Times New Roman"/>
          <w:sz w:val="24"/>
          <w:szCs w:val="24"/>
          <w:lang w:val="en-GB"/>
        </w:rPr>
        <w:t xml:space="preserve"> (2012)</w:t>
      </w:r>
      <w:r w:rsidRPr="00BC681C">
        <w:rPr>
          <w:rFonts w:ascii="Times New Roman" w:hAnsi="Times New Roman" w:cs="Times New Roman"/>
          <w:sz w:val="24"/>
          <w:szCs w:val="24"/>
          <w:lang w:val="en-GB"/>
        </w:rPr>
        <w:t xml:space="preserve">, “The Tangled Complexity of the EU Constitutional Process: On Complexity as a Constitutional Theory of the EU”,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Yearbook of European Law, Vol. 31, No. 1</w:t>
      </w:r>
    </w:p>
    <w:p w14:paraId="6578FF2F" w14:textId="5B071603" w:rsidR="00F16D5B" w:rsidRDefault="00F16D5B" w:rsidP="00BD2DDB">
      <w:pPr>
        <w:jc w:val="both"/>
        <w:rPr>
          <w:rFonts w:ascii="Times New Roman" w:hAnsi="Times New Roman" w:cs="Times New Roman"/>
          <w:sz w:val="24"/>
          <w:szCs w:val="24"/>
          <w:lang w:val="en-GB"/>
        </w:rPr>
      </w:pPr>
      <w:proofErr w:type="spellStart"/>
      <w:r w:rsidRPr="00BC681C">
        <w:rPr>
          <w:rFonts w:ascii="Times New Roman" w:hAnsi="Times New Roman" w:cs="Times New Roman"/>
          <w:sz w:val="24"/>
          <w:szCs w:val="24"/>
          <w:lang w:val="en-GB"/>
        </w:rPr>
        <w:t>Gráinne</w:t>
      </w:r>
      <w:proofErr w:type="spellEnd"/>
      <w:r w:rsidRPr="00BC681C">
        <w:rPr>
          <w:rFonts w:ascii="Times New Roman" w:hAnsi="Times New Roman" w:cs="Times New Roman"/>
          <w:smallCaps/>
          <w:sz w:val="24"/>
          <w:szCs w:val="24"/>
          <w:lang w:val="en-GB"/>
        </w:rPr>
        <w:t xml:space="preserve"> </w:t>
      </w:r>
      <w:r w:rsidRPr="00F16D5B">
        <w:rPr>
          <w:rFonts w:ascii="Times New Roman" w:hAnsi="Times New Roman" w:cs="Times New Roman"/>
          <w:sz w:val="24"/>
          <w:szCs w:val="24"/>
          <w:lang w:val="en-GB"/>
        </w:rPr>
        <w:t xml:space="preserve">De </w:t>
      </w:r>
      <w:proofErr w:type="spellStart"/>
      <w:r w:rsidRPr="00F16D5B">
        <w:rPr>
          <w:rFonts w:ascii="Times New Roman" w:hAnsi="Times New Roman" w:cs="Times New Roman"/>
          <w:sz w:val="24"/>
          <w:szCs w:val="24"/>
          <w:lang w:val="en-GB"/>
        </w:rPr>
        <w:t>Búrca</w:t>
      </w:r>
      <w:proofErr w:type="spellEnd"/>
      <w:r>
        <w:rPr>
          <w:rFonts w:ascii="Times New Roman" w:hAnsi="Times New Roman" w:cs="Times New Roman"/>
          <w:sz w:val="24"/>
          <w:szCs w:val="24"/>
          <w:lang w:val="en-GB"/>
        </w:rPr>
        <w:t xml:space="preserve"> (2022)</w:t>
      </w:r>
      <w:r w:rsidRPr="00BC681C">
        <w:rPr>
          <w:rFonts w:ascii="Times New Roman" w:hAnsi="Times New Roman" w:cs="Times New Roman"/>
          <w:sz w:val="24"/>
          <w:szCs w:val="24"/>
          <w:lang w:val="en-GB"/>
        </w:rPr>
        <w:t xml:space="preserve">, “Poland and Hungary’s EU membership: On not confronting authoritarian governments”,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International Journal of Constitutional Law, Vol. 20, No. 1</w:t>
      </w:r>
    </w:p>
    <w:p w14:paraId="36D5876F" w14:textId="4EC01A71" w:rsidR="00E31780" w:rsidRPr="00E31780" w:rsidRDefault="00E31780" w:rsidP="00BD2DDB">
      <w:pPr>
        <w:jc w:val="both"/>
        <w:rPr>
          <w:rFonts w:ascii="Times New Roman" w:hAnsi="Times New Roman" w:cs="Times New Roman"/>
          <w:sz w:val="24"/>
          <w:szCs w:val="24"/>
          <w:lang w:val="en-US"/>
        </w:rPr>
      </w:pPr>
      <w:r w:rsidRPr="00E31780">
        <w:rPr>
          <w:rFonts w:ascii="Times New Roman" w:hAnsi="Times New Roman" w:cs="Times New Roman"/>
          <w:sz w:val="24"/>
          <w:szCs w:val="24"/>
          <w:lang w:val="en-US"/>
        </w:rPr>
        <w:t>H. Crawley</w:t>
      </w:r>
      <w:r>
        <w:rPr>
          <w:rFonts w:ascii="Times New Roman" w:hAnsi="Times New Roman" w:cs="Times New Roman"/>
          <w:sz w:val="24"/>
          <w:szCs w:val="24"/>
          <w:lang w:val="en-US"/>
        </w:rPr>
        <w:t xml:space="preserve"> </w:t>
      </w:r>
      <w:r w:rsidRPr="00E31780">
        <w:rPr>
          <w:rFonts w:ascii="Times New Roman" w:hAnsi="Times New Roman" w:cs="Times New Roman"/>
          <w:sz w:val="24"/>
          <w:szCs w:val="24"/>
          <w:lang w:val="en-US"/>
        </w:rPr>
        <w:t>(2023)</w:t>
      </w:r>
      <w:r>
        <w:rPr>
          <w:rFonts w:ascii="Times New Roman" w:hAnsi="Times New Roman" w:cs="Times New Roman"/>
          <w:sz w:val="24"/>
          <w:szCs w:val="24"/>
          <w:lang w:val="en-US"/>
        </w:rPr>
        <w:t>,</w:t>
      </w:r>
      <w:r w:rsidRPr="00E31780">
        <w:rPr>
          <w:rFonts w:ascii="Times New Roman" w:hAnsi="Times New Roman" w:cs="Times New Roman"/>
          <w:sz w:val="24"/>
          <w:szCs w:val="24"/>
          <w:lang w:val="en-US"/>
        </w:rPr>
        <w:t xml:space="preserve"> “How Europe’s migration policies are contributing to the migration crisis”, </w:t>
      </w:r>
      <w:r w:rsidRPr="00E31780">
        <w:rPr>
          <w:rFonts w:ascii="Times New Roman" w:hAnsi="Times New Roman" w:cs="Times New Roman"/>
          <w:i/>
          <w:iCs/>
          <w:sz w:val="24"/>
          <w:szCs w:val="24"/>
          <w:lang w:val="en-US"/>
        </w:rPr>
        <w:t xml:space="preserve">Migration Policy and the </w:t>
      </w:r>
      <w:proofErr w:type="gramStart"/>
      <w:r w:rsidRPr="00E31780">
        <w:rPr>
          <w:rFonts w:ascii="Times New Roman" w:hAnsi="Times New Roman" w:cs="Times New Roman"/>
          <w:i/>
          <w:iCs/>
          <w:sz w:val="24"/>
          <w:szCs w:val="24"/>
          <w:lang w:val="en-US"/>
        </w:rPr>
        <w:t>EU</w:t>
      </w:r>
      <w:r w:rsidRPr="00E31780">
        <w:rPr>
          <w:rFonts w:ascii="Times New Roman" w:hAnsi="Times New Roman" w:cs="Times New Roman"/>
          <w:sz w:val="24"/>
          <w:szCs w:val="24"/>
          <w:lang w:val="en-US"/>
        </w:rPr>
        <w:t xml:space="preserve">  2</w:t>
      </w:r>
      <w:proofErr w:type="gramEnd"/>
    </w:p>
    <w:p w14:paraId="70FC80D4" w14:textId="6EC6CD4D" w:rsidR="00494ABD" w:rsidRDefault="00494ABD" w:rsidP="00BD2DDB">
      <w:pPr>
        <w:jc w:val="both"/>
        <w:rPr>
          <w:rFonts w:ascii="Times New Roman" w:hAnsi="Times New Roman" w:cs="Times New Roman"/>
          <w:bCs/>
          <w:sz w:val="24"/>
          <w:szCs w:val="24"/>
        </w:rPr>
      </w:pPr>
      <w:r w:rsidRPr="007E3A83">
        <w:rPr>
          <w:rFonts w:ascii="Times New Roman" w:hAnsi="Times New Roman" w:cs="Times New Roman"/>
          <w:bCs/>
          <w:sz w:val="24"/>
          <w:szCs w:val="24"/>
        </w:rPr>
        <w:t>José</w:t>
      </w:r>
      <w:r w:rsidRPr="007E3A83">
        <w:rPr>
          <w:rFonts w:ascii="Times New Roman" w:hAnsi="Times New Roman" w:cs="Times New Roman"/>
          <w:bCs/>
          <w:smallCaps/>
          <w:sz w:val="24"/>
          <w:szCs w:val="24"/>
        </w:rPr>
        <w:t xml:space="preserve"> </w:t>
      </w:r>
      <w:r w:rsidRPr="00494ABD">
        <w:rPr>
          <w:rFonts w:ascii="Times New Roman" w:hAnsi="Times New Roman" w:cs="Times New Roman"/>
          <w:bCs/>
          <w:sz w:val="24"/>
          <w:szCs w:val="24"/>
        </w:rPr>
        <w:t>Canotilho</w:t>
      </w:r>
      <w:r w:rsidR="005C2074">
        <w:rPr>
          <w:rFonts w:ascii="Times New Roman" w:hAnsi="Times New Roman" w:cs="Times New Roman"/>
          <w:bCs/>
          <w:sz w:val="24"/>
          <w:szCs w:val="24"/>
        </w:rPr>
        <w:t xml:space="preserve"> (2003)</w:t>
      </w:r>
      <w:r w:rsidRPr="007E3A83">
        <w:rPr>
          <w:rFonts w:ascii="Times New Roman" w:hAnsi="Times New Roman" w:cs="Times New Roman"/>
          <w:bCs/>
          <w:sz w:val="24"/>
          <w:szCs w:val="24"/>
        </w:rPr>
        <w:t xml:space="preserve">, </w:t>
      </w:r>
      <w:r w:rsidRPr="007E3A83">
        <w:rPr>
          <w:rFonts w:ascii="Times New Roman" w:hAnsi="Times New Roman" w:cs="Times New Roman"/>
          <w:bCs/>
          <w:i/>
          <w:sz w:val="24"/>
          <w:szCs w:val="24"/>
        </w:rPr>
        <w:t>Direito Constitucional e Teoria da Constituição</w:t>
      </w:r>
      <w:r w:rsidRPr="007E3A83">
        <w:rPr>
          <w:rFonts w:ascii="Times New Roman" w:hAnsi="Times New Roman" w:cs="Times New Roman"/>
          <w:bCs/>
          <w:sz w:val="24"/>
          <w:szCs w:val="24"/>
        </w:rPr>
        <w:t>, 7</w:t>
      </w:r>
      <w:r w:rsidRPr="004C27C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w:t>
      </w:r>
      <w:r w:rsidRPr="007E3A83">
        <w:rPr>
          <w:rFonts w:ascii="Times New Roman" w:hAnsi="Times New Roman" w:cs="Times New Roman"/>
          <w:bCs/>
          <w:sz w:val="24"/>
          <w:szCs w:val="24"/>
        </w:rPr>
        <w:t>, Almedina</w:t>
      </w:r>
    </w:p>
    <w:p w14:paraId="128275F4" w14:textId="2EC1C25B" w:rsidR="009D4097" w:rsidRPr="009D4097" w:rsidRDefault="009D4097" w:rsidP="009D4097">
      <w:r w:rsidRPr="007E3A83">
        <w:rPr>
          <w:rFonts w:ascii="Times New Roman" w:hAnsi="Times New Roman" w:cs="Times New Roman"/>
          <w:sz w:val="24"/>
          <w:szCs w:val="24"/>
        </w:rPr>
        <w:t>José</w:t>
      </w:r>
      <w:r w:rsidRPr="007E3A83">
        <w:rPr>
          <w:rFonts w:ascii="Times New Roman" w:hAnsi="Times New Roman" w:cs="Times New Roman"/>
          <w:smallCaps/>
          <w:sz w:val="24"/>
          <w:szCs w:val="24"/>
        </w:rPr>
        <w:t xml:space="preserve"> </w:t>
      </w:r>
      <w:r w:rsidRPr="009D4097">
        <w:rPr>
          <w:rFonts w:ascii="Times New Roman" w:hAnsi="Times New Roman" w:cs="Times New Roman"/>
          <w:sz w:val="24"/>
          <w:szCs w:val="24"/>
        </w:rPr>
        <w:t>Pujol</w:t>
      </w:r>
      <w:r>
        <w:rPr>
          <w:rFonts w:ascii="Times New Roman" w:hAnsi="Times New Roman" w:cs="Times New Roman"/>
          <w:sz w:val="24"/>
          <w:szCs w:val="24"/>
        </w:rPr>
        <w:t xml:space="preserve"> (2014)</w:t>
      </w:r>
      <w:r w:rsidRPr="007E3A83">
        <w:rPr>
          <w:rFonts w:ascii="Times New Roman" w:hAnsi="Times New Roman" w:cs="Times New Roman"/>
          <w:sz w:val="24"/>
          <w:szCs w:val="24"/>
        </w:rPr>
        <w:t xml:space="preserve">, “Pluralismo Constitucional Europeu”, </w:t>
      </w:r>
      <w:r w:rsidRPr="007E3A83">
        <w:rPr>
          <w:rFonts w:ascii="Times New Roman" w:hAnsi="Times New Roman" w:cs="Times New Roman"/>
          <w:i/>
          <w:sz w:val="24"/>
          <w:szCs w:val="24"/>
        </w:rPr>
        <w:t>in</w:t>
      </w:r>
      <w:r w:rsidRPr="007E3A83">
        <w:rPr>
          <w:rFonts w:ascii="Times New Roman" w:hAnsi="Times New Roman" w:cs="Times New Roman"/>
          <w:sz w:val="24"/>
          <w:szCs w:val="24"/>
        </w:rPr>
        <w:t xml:space="preserve"> O Direito, Ano 146º, I</w:t>
      </w:r>
    </w:p>
    <w:p w14:paraId="6DB9E39B" w14:textId="293BF5C9" w:rsidR="008D4BF8" w:rsidRDefault="008D4BF8"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Julian</w:t>
      </w:r>
      <w:r w:rsidRPr="00BC681C">
        <w:rPr>
          <w:rFonts w:ascii="Times New Roman" w:hAnsi="Times New Roman" w:cs="Times New Roman"/>
          <w:smallCaps/>
          <w:sz w:val="24"/>
          <w:szCs w:val="24"/>
          <w:lang w:val="en-GB"/>
        </w:rPr>
        <w:t xml:space="preserve"> </w:t>
      </w:r>
      <w:r w:rsidRPr="008D4BF8">
        <w:rPr>
          <w:rFonts w:ascii="Times New Roman" w:hAnsi="Times New Roman" w:cs="Times New Roman"/>
          <w:sz w:val="24"/>
          <w:szCs w:val="24"/>
          <w:lang w:val="en-GB"/>
        </w:rPr>
        <w:t>Scholtes</w:t>
      </w:r>
      <w:r>
        <w:rPr>
          <w:rFonts w:ascii="Times New Roman" w:hAnsi="Times New Roman" w:cs="Times New Roman"/>
          <w:sz w:val="24"/>
          <w:szCs w:val="24"/>
          <w:lang w:val="en-GB"/>
        </w:rPr>
        <w:t xml:space="preserve"> (2021)</w:t>
      </w:r>
      <w:r w:rsidRPr="00BC681C">
        <w:rPr>
          <w:rFonts w:ascii="Times New Roman" w:hAnsi="Times New Roman" w:cs="Times New Roman"/>
          <w:sz w:val="24"/>
          <w:szCs w:val="24"/>
          <w:lang w:val="en-GB"/>
        </w:rPr>
        <w:t xml:space="preserve">, “Abusing Constitutional Identity”, </w:t>
      </w:r>
      <w:r w:rsidRPr="00BC681C">
        <w:rPr>
          <w:rFonts w:ascii="Times New Roman" w:hAnsi="Times New Roman" w:cs="Times New Roman"/>
          <w:i/>
          <w:iCs/>
          <w:sz w:val="24"/>
          <w:szCs w:val="24"/>
          <w:lang w:val="en-GB"/>
        </w:rPr>
        <w:t>in</w:t>
      </w:r>
      <w:r w:rsidRPr="00BC681C">
        <w:rPr>
          <w:rFonts w:ascii="Times New Roman" w:hAnsi="Times New Roman" w:cs="Times New Roman"/>
          <w:sz w:val="24"/>
          <w:szCs w:val="24"/>
          <w:lang w:val="en-GB"/>
        </w:rPr>
        <w:t xml:space="preserve"> German Law Journal, Volume 22</w:t>
      </w:r>
    </w:p>
    <w:p w14:paraId="302C689C" w14:textId="19503340" w:rsidR="00A5479A" w:rsidRPr="00A5479A" w:rsidRDefault="00A5479A" w:rsidP="00A5479A">
      <w:pPr>
        <w:jc w:val="both"/>
        <w:rPr>
          <w:rFonts w:ascii="Times New Roman" w:hAnsi="Times New Roman" w:cs="Times New Roman"/>
          <w:sz w:val="24"/>
          <w:szCs w:val="24"/>
          <w:lang w:val="en-US"/>
        </w:rPr>
      </w:pPr>
      <w:proofErr w:type="spellStart"/>
      <w:r w:rsidRPr="00A5479A">
        <w:rPr>
          <w:rFonts w:ascii="Times New Roman" w:hAnsi="Times New Roman" w:cs="Times New Roman"/>
          <w:sz w:val="24"/>
          <w:szCs w:val="24"/>
          <w:lang w:val="en-GB"/>
        </w:rPr>
        <w:t>Karine</w:t>
      </w:r>
      <w:proofErr w:type="spellEnd"/>
      <w:r w:rsidRPr="00A5479A">
        <w:rPr>
          <w:rFonts w:ascii="Times New Roman" w:hAnsi="Times New Roman" w:cs="Times New Roman"/>
          <w:sz w:val="24"/>
          <w:szCs w:val="24"/>
          <w:lang w:val="en-GB"/>
        </w:rPr>
        <w:t xml:space="preserve"> </w:t>
      </w:r>
      <w:proofErr w:type="spellStart"/>
      <w:r w:rsidRPr="00A5479A">
        <w:rPr>
          <w:rFonts w:ascii="Times New Roman" w:hAnsi="Times New Roman" w:cs="Times New Roman"/>
          <w:sz w:val="24"/>
          <w:szCs w:val="24"/>
          <w:lang w:val="en-GB"/>
        </w:rPr>
        <w:t>Caunes</w:t>
      </w:r>
      <w:proofErr w:type="spellEnd"/>
      <w:r>
        <w:rPr>
          <w:rFonts w:ascii="Times New Roman" w:hAnsi="Times New Roman" w:cs="Times New Roman"/>
          <w:sz w:val="24"/>
          <w:szCs w:val="24"/>
          <w:lang w:val="en-GB"/>
        </w:rPr>
        <w:t xml:space="preserve"> (2022)</w:t>
      </w:r>
      <w:r w:rsidRPr="00A5479A">
        <w:rPr>
          <w:rFonts w:ascii="Times New Roman" w:hAnsi="Times New Roman" w:cs="Times New Roman"/>
          <w:sz w:val="24"/>
          <w:szCs w:val="24"/>
          <w:lang w:val="en-GB"/>
        </w:rPr>
        <w:t>, “#</w:t>
      </w:r>
      <w:proofErr w:type="spellStart"/>
      <w:r w:rsidRPr="00A5479A">
        <w:rPr>
          <w:rFonts w:ascii="Times New Roman" w:hAnsi="Times New Roman" w:cs="Times New Roman"/>
          <w:sz w:val="24"/>
          <w:szCs w:val="24"/>
          <w:lang w:val="en-GB"/>
        </w:rPr>
        <w:t>IAmPetra</w:t>
      </w:r>
      <w:proofErr w:type="spellEnd"/>
      <w:r w:rsidRPr="00A5479A">
        <w:rPr>
          <w:rFonts w:ascii="Times New Roman" w:hAnsi="Times New Roman" w:cs="Times New Roman"/>
          <w:sz w:val="24"/>
          <w:szCs w:val="24"/>
          <w:lang w:val="en-GB"/>
        </w:rPr>
        <w:t xml:space="preserve">; Prologue: The paradoxes of the rule of law in EU context—with special emphasis on the Polish RRP and EAW sagas; In this issue” (Editorial), </w:t>
      </w:r>
      <w:r w:rsidRPr="00A5479A">
        <w:rPr>
          <w:rFonts w:ascii="Times New Roman" w:hAnsi="Times New Roman" w:cs="Times New Roman"/>
          <w:i/>
          <w:iCs/>
          <w:sz w:val="24"/>
          <w:szCs w:val="24"/>
          <w:lang w:val="en-GB"/>
        </w:rPr>
        <w:t>in</w:t>
      </w:r>
      <w:r w:rsidRPr="00A5479A">
        <w:rPr>
          <w:rFonts w:ascii="Times New Roman" w:hAnsi="Times New Roman" w:cs="Times New Roman"/>
          <w:sz w:val="24"/>
          <w:szCs w:val="24"/>
          <w:lang w:val="en-GB"/>
        </w:rPr>
        <w:t xml:space="preserve"> European Law Journal, Vol 27</w:t>
      </w:r>
    </w:p>
    <w:p w14:paraId="25C17989" w14:textId="77777777" w:rsidR="000A3733" w:rsidRPr="000A3733" w:rsidRDefault="000A3733" w:rsidP="000A3733">
      <w:pPr>
        <w:rPr>
          <w:rFonts w:ascii="Times New Roman" w:hAnsi="Times New Roman" w:cs="Times New Roman"/>
          <w:bCs/>
          <w:sz w:val="24"/>
          <w:szCs w:val="24"/>
          <w:lang w:val="en-US"/>
        </w:rPr>
      </w:pPr>
      <w:r w:rsidRPr="000A3733">
        <w:rPr>
          <w:rFonts w:ascii="Times New Roman" w:hAnsi="Times New Roman" w:cs="Times New Roman"/>
          <w:bCs/>
          <w:sz w:val="24"/>
          <w:szCs w:val="24"/>
          <w:lang w:val="en-US"/>
        </w:rPr>
        <w:t>L. Achilli</w:t>
      </w:r>
      <w:r>
        <w:rPr>
          <w:rFonts w:ascii="Times New Roman" w:hAnsi="Times New Roman" w:cs="Times New Roman"/>
          <w:bCs/>
          <w:sz w:val="24"/>
          <w:szCs w:val="24"/>
          <w:lang w:val="en-US"/>
        </w:rPr>
        <w:t xml:space="preserve"> </w:t>
      </w:r>
      <w:r w:rsidRPr="000A3733">
        <w:rPr>
          <w:rFonts w:ascii="Times New Roman" w:hAnsi="Times New Roman" w:cs="Times New Roman"/>
          <w:bCs/>
          <w:sz w:val="24"/>
          <w:szCs w:val="24"/>
          <w:lang w:val="en-US"/>
        </w:rPr>
        <w:t>(2024)</w:t>
      </w:r>
      <w:r>
        <w:rPr>
          <w:rFonts w:ascii="Times New Roman" w:hAnsi="Times New Roman" w:cs="Times New Roman"/>
          <w:bCs/>
          <w:sz w:val="24"/>
          <w:szCs w:val="24"/>
          <w:lang w:val="en-US"/>
        </w:rPr>
        <w:t>,</w:t>
      </w:r>
      <w:r w:rsidRPr="000A3733">
        <w:rPr>
          <w:rFonts w:ascii="Times New Roman" w:hAnsi="Times New Roman" w:cs="Times New Roman"/>
          <w:bCs/>
          <w:sz w:val="24"/>
          <w:szCs w:val="24"/>
          <w:lang w:val="en-US"/>
        </w:rPr>
        <w:t xml:space="preserve"> “The missing link: the role of criminal groups in migration governance”, 50(20) </w:t>
      </w:r>
      <w:r w:rsidRPr="000A3733">
        <w:rPr>
          <w:rFonts w:ascii="Times New Roman" w:hAnsi="Times New Roman" w:cs="Times New Roman"/>
          <w:bCs/>
          <w:i/>
          <w:iCs/>
          <w:sz w:val="24"/>
          <w:szCs w:val="24"/>
          <w:lang w:val="en-US"/>
        </w:rPr>
        <w:t>Journal of Ethnic and Migration Studies</w:t>
      </w:r>
    </w:p>
    <w:p w14:paraId="4C8BAEE6" w14:textId="0A60374B" w:rsidR="000A3733" w:rsidRDefault="000A3733" w:rsidP="000A3733">
      <w:pPr>
        <w:jc w:val="both"/>
        <w:rPr>
          <w:rFonts w:ascii="Times New Roman" w:hAnsi="Times New Roman" w:cs="Times New Roman"/>
          <w:sz w:val="24"/>
          <w:szCs w:val="24"/>
          <w:lang w:val="en-GB"/>
        </w:rPr>
      </w:pPr>
      <w:r w:rsidRPr="000A3733">
        <w:rPr>
          <w:rFonts w:ascii="Times New Roman" w:hAnsi="Times New Roman" w:cs="Times New Roman"/>
          <w:bCs/>
          <w:sz w:val="24"/>
          <w:szCs w:val="24"/>
          <w:lang w:val="en-US"/>
        </w:rPr>
        <w:t>L. F. Torres</w:t>
      </w:r>
      <w:r>
        <w:rPr>
          <w:rFonts w:ascii="Times New Roman" w:hAnsi="Times New Roman" w:cs="Times New Roman"/>
          <w:bCs/>
          <w:sz w:val="24"/>
          <w:szCs w:val="24"/>
          <w:lang w:val="en-US"/>
        </w:rPr>
        <w:t xml:space="preserve"> </w:t>
      </w:r>
      <w:r w:rsidRPr="000A3733">
        <w:rPr>
          <w:rFonts w:ascii="Times New Roman" w:hAnsi="Times New Roman" w:cs="Times New Roman"/>
          <w:bCs/>
          <w:sz w:val="24"/>
          <w:szCs w:val="24"/>
          <w:lang w:val="en-US"/>
        </w:rPr>
        <w:t>(2023)</w:t>
      </w:r>
      <w:r>
        <w:rPr>
          <w:rFonts w:ascii="Times New Roman" w:hAnsi="Times New Roman" w:cs="Times New Roman"/>
          <w:bCs/>
          <w:sz w:val="24"/>
          <w:szCs w:val="24"/>
          <w:lang w:val="en-US"/>
        </w:rPr>
        <w:t>,</w:t>
      </w:r>
      <w:r w:rsidRPr="000A3733">
        <w:rPr>
          <w:rFonts w:ascii="Times New Roman" w:hAnsi="Times New Roman" w:cs="Times New Roman"/>
          <w:bCs/>
          <w:sz w:val="24"/>
          <w:szCs w:val="24"/>
          <w:lang w:val="en-US"/>
        </w:rPr>
        <w:t xml:space="preserve"> “Hindering Democracy </w:t>
      </w:r>
      <w:proofErr w:type="gramStart"/>
      <w:r w:rsidRPr="000A3733">
        <w:rPr>
          <w:rFonts w:ascii="Times New Roman" w:hAnsi="Times New Roman" w:cs="Times New Roman"/>
          <w:bCs/>
          <w:sz w:val="24"/>
          <w:szCs w:val="24"/>
          <w:lang w:val="en-US"/>
        </w:rPr>
        <w:t>Through</w:t>
      </w:r>
      <w:proofErr w:type="gramEnd"/>
      <w:r w:rsidRPr="000A3733">
        <w:rPr>
          <w:rFonts w:ascii="Times New Roman" w:hAnsi="Times New Roman" w:cs="Times New Roman"/>
          <w:bCs/>
          <w:sz w:val="24"/>
          <w:szCs w:val="24"/>
          <w:lang w:val="en-US"/>
        </w:rPr>
        <w:t xml:space="preserve"> Migration Policies? An Analysis of EU External Migration Policies’ Impacts on the </w:t>
      </w:r>
      <w:proofErr w:type="spellStart"/>
      <w:r w:rsidRPr="000A3733">
        <w:rPr>
          <w:rFonts w:ascii="Times New Roman" w:hAnsi="Times New Roman" w:cs="Times New Roman"/>
          <w:bCs/>
          <w:sz w:val="24"/>
          <w:szCs w:val="24"/>
          <w:lang w:val="en-US"/>
        </w:rPr>
        <w:t>Democratisation</w:t>
      </w:r>
      <w:proofErr w:type="spellEnd"/>
      <w:r w:rsidRPr="000A3733">
        <w:rPr>
          <w:rFonts w:ascii="Times New Roman" w:hAnsi="Times New Roman" w:cs="Times New Roman"/>
          <w:bCs/>
          <w:sz w:val="24"/>
          <w:szCs w:val="24"/>
          <w:lang w:val="en-US"/>
        </w:rPr>
        <w:t xml:space="preserve"> of Morocco”, </w:t>
      </w:r>
      <w:r w:rsidRPr="000A3733">
        <w:rPr>
          <w:rFonts w:ascii="Times New Roman" w:hAnsi="Times New Roman" w:cs="Times New Roman"/>
          <w:bCs/>
          <w:i/>
          <w:iCs/>
          <w:sz w:val="24"/>
          <w:szCs w:val="24"/>
          <w:lang w:val="en-US"/>
        </w:rPr>
        <w:t>in</w:t>
      </w:r>
      <w:r w:rsidRPr="000A3733">
        <w:rPr>
          <w:rFonts w:ascii="Times New Roman" w:hAnsi="Times New Roman" w:cs="Times New Roman"/>
          <w:bCs/>
          <w:sz w:val="24"/>
          <w:szCs w:val="24"/>
          <w:lang w:val="en-US"/>
        </w:rPr>
        <w:t xml:space="preserve"> R. Zapata-Barrero and I. Awad (</w:t>
      </w:r>
      <w:proofErr w:type="gramStart"/>
      <w:r w:rsidRPr="000A3733">
        <w:rPr>
          <w:rFonts w:ascii="Times New Roman" w:hAnsi="Times New Roman" w:cs="Times New Roman"/>
          <w:bCs/>
          <w:sz w:val="24"/>
          <w:szCs w:val="24"/>
          <w:lang w:val="en-US"/>
        </w:rPr>
        <w:t>eds</w:t>
      </w:r>
      <w:proofErr w:type="gramEnd"/>
      <w:r w:rsidRPr="000A3733">
        <w:rPr>
          <w:rFonts w:ascii="Times New Roman" w:hAnsi="Times New Roman" w:cs="Times New Roman"/>
          <w:bCs/>
          <w:sz w:val="24"/>
          <w:szCs w:val="24"/>
          <w:lang w:val="en-US"/>
        </w:rPr>
        <w:t xml:space="preserve">), </w:t>
      </w:r>
      <w:r w:rsidRPr="000A3733">
        <w:rPr>
          <w:rFonts w:ascii="Times New Roman" w:hAnsi="Times New Roman" w:cs="Times New Roman"/>
          <w:bCs/>
          <w:i/>
          <w:iCs/>
          <w:sz w:val="24"/>
          <w:szCs w:val="24"/>
          <w:lang w:val="en-US"/>
        </w:rPr>
        <w:t>Migrations in the Mediterranean</w:t>
      </w:r>
      <w:r w:rsidRPr="000A3733">
        <w:rPr>
          <w:rFonts w:ascii="Times New Roman" w:hAnsi="Times New Roman" w:cs="Times New Roman"/>
          <w:bCs/>
          <w:sz w:val="24"/>
          <w:szCs w:val="24"/>
          <w:lang w:val="en-US"/>
        </w:rPr>
        <w:t>, Springer, Cham</w:t>
      </w:r>
    </w:p>
    <w:p w14:paraId="4510F3AA" w14:textId="64B4CD15" w:rsidR="006A71A3" w:rsidRPr="006A71A3" w:rsidRDefault="006A71A3" w:rsidP="006A71A3">
      <w:pPr>
        <w:jc w:val="both"/>
        <w:rPr>
          <w:lang w:val="en-US"/>
        </w:rPr>
      </w:pPr>
      <w:bookmarkStart w:id="7" w:name="_Hlk125359269"/>
      <w:proofErr w:type="spellStart"/>
      <w:r w:rsidRPr="00BC681C">
        <w:rPr>
          <w:rFonts w:ascii="Times New Roman" w:hAnsi="Times New Roman" w:cs="Times New Roman"/>
          <w:sz w:val="24"/>
          <w:szCs w:val="24"/>
          <w:lang w:val="en-GB"/>
        </w:rPr>
        <w:t>Leposava</w:t>
      </w:r>
      <w:proofErr w:type="spellEnd"/>
      <w:r w:rsidRPr="00BC681C">
        <w:rPr>
          <w:rFonts w:ascii="Times New Roman" w:hAnsi="Times New Roman" w:cs="Times New Roman"/>
          <w:smallCaps/>
          <w:sz w:val="24"/>
          <w:szCs w:val="24"/>
          <w:lang w:val="en-GB"/>
        </w:rPr>
        <w:t xml:space="preserve"> </w:t>
      </w:r>
      <w:proofErr w:type="spellStart"/>
      <w:r w:rsidRPr="006A71A3">
        <w:rPr>
          <w:rFonts w:ascii="Times New Roman" w:hAnsi="Times New Roman" w:cs="Times New Roman"/>
          <w:sz w:val="24"/>
          <w:szCs w:val="24"/>
          <w:lang w:val="en-GB"/>
        </w:rPr>
        <w:t>Ognjanoska</w:t>
      </w:r>
      <w:proofErr w:type="spellEnd"/>
      <w:r>
        <w:rPr>
          <w:rFonts w:ascii="Times New Roman" w:hAnsi="Times New Roman" w:cs="Times New Roman"/>
          <w:sz w:val="24"/>
          <w:szCs w:val="24"/>
          <w:lang w:val="en-GB"/>
        </w:rPr>
        <w:t xml:space="preserve"> (2021)</w:t>
      </w:r>
      <w:r w:rsidRPr="00BC681C">
        <w:rPr>
          <w:rFonts w:ascii="Times New Roman" w:hAnsi="Times New Roman" w:cs="Times New Roman"/>
          <w:sz w:val="24"/>
          <w:szCs w:val="24"/>
          <w:lang w:val="en-GB"/>
        </w:rPr>
        <w:t xml:space="preserve">, “Promoting the Rule of Law in the EU Enlargement Policy: a Twofold Challenge”, </w:t>
      </w:r>
      <w:r w:rsidRPr="00BC681C">
        <w:rPr>
          <w:rFonts w:ascii="Times New Roman" w:hAnsi="Times New Roman" w:cs="Times New Roman"/>
          <w:i/>
          <w:iCs/>
          <w:sz w:val="24"/>
          <w:szCs w:val="24"/>
          <w:lang w:val="en-GB"/>
        </w:rPr>
        <w:t>in</w:t>
      </w:r>
      <w:r w:rsidRPr="00BC681C">
        <w:rPr>
          <w:rFonts w:ascii="Times New Roman" w:hAnsi="Times New Roman" w:cs="Times New Roman"/>
          <w:sz w:val="24"/>
          <w:szCs w:val="24"/>
          <w:lang w:val="en-GB"/>
        </w:rPr>
        <w:t xml:space="preserve"> Croatian Yearbook of European Law and Policy, 17</w:t>
      </w:r>
      <w:bookmarkEnd w:id="7"/>
    </w:p>
    <w:p w14:paraId="6AD9EAC8" w14:textId="0025B796" w:rsidR="006A71A3" w:rsidRDefault="006A71A3" w:rsidP="006A71A3">
      <w:pPr>
        <w:jc w:val="both"/>
        <w:rPr>
          <w:rFonts w:ascii="Times New Roman" w:hAnsi="Times New Roman" w:cs="Times New Roman"/>
          <w:bCs/>
          <w:sz w:val="24"/>
          <w:szCs w:val="24"/>
          <w:lang w:val="es-ES"/>
        </w:rPr>
      </w:pPr>
      <w:r w:rsidRPr="007E3A83">
        <w:rPr>
          <w:rFonts w:ascii="Times New Roman" w:hAnsi="Times New Roman" w:cs="Times New Roman"/>
          <w:bCs/>
          <w:sz w:val="24"/>
          <w:szCs w:val="24"/>
          <w:lang w:val="es-ES"/>
        </w:rPr>
        <w:t>Luis María</w:t>
      </w:r>
      <w:r w:rsidRPr="007E3A83">
        <w:rPr>
          <w:rFonts w:ascii="Times New Roman" w:hAnsi="Times New Roman" w:cs="Times New Roman"/>
          <w:bCs/>
          <w:smallCaps/>
          <w:sz w:val="24"/>
          <w:szCs w:val="24"/>
          <w:lang w:val="es-ES"/>
        </w:rPr>
        <w:t xml:space="preserve"> </w:t>
      </w:r>
      <w:r w:rsidRPr="006A71A3">
        <w:rPr>
          <w:rFonts w:ascii="Times New Roman" w:hAnsi="Times New Roman" w:cs="Times New Roman"/>
          <w:bCs/>
          <w:sz w:val="24"/>
          <w:szCs w:val="24"/>
          <w:lang w:val="es-ES"/>
        </w:rPr>
        <w:t>Díez-Picazo</w:t>
      </w:r>
      <w:r>
        <w:rPr>
          <w:rFonts w:ascii="Times New Roman" w:hAnsi="Times New Roman" w:cs="Times New Roman"/>
          <w:bCs/>
          <w:sz w:val="24"/>
          <w:szCs w:val="24"/>
          <w:lang w:val="es-ES"/>
        </w:rPr>
        <w:t xml:space="preserve"> (2008)</w:t>
      </w:r>
      <w:r w:rsidRPr="007E3A83">
        <w:rPr>
          <w:rFonts w:ascii="Times New Roman" w:hAnsi="Times New Roman" w:cs="Times New Roman"/>
          <w:bCs/>
          <w:sz w:val="24"/>
          <w:szCs w:val="24"/>
          <w:lang w:val="es-ES"/>
        </w:rPr>
        <w:t xml:space="preserve">, “La Naturaleza de la Unión Europea”, </w:t>
      </w:r>
      <w:r w:rsidRPr="007E3A83">
        <w:rPr>
          <w:rFonts w:ascii="Times New Roman" w:hAnsi="Times New Roman" w:cs="Times New Roman"/>
          <w:bCs/>
          <w:i/>
          <w:sz w:val="24"/>
          <w:szCs w:val="24"/>
          <w:lang w:val="es-ES"/>
        </w:rPr>
        <w:t>in</w:t>
      </w:r>
      <w:r w:rsidRPr="007E3A83">
        <w:rPr>
          <w:rFonts w:ascii="Times New Roman" w:hAnsi="Times New Roman" w:cs="Times New Roman"/>
          <w:bCs/>
          <w:sz w:val="24"/>
          <w:szCs w:val="24"/>
          <w:lang w:val="es-ES"/>
        </w:rPr>
        <w:t xml:space="preserve"> </w:t>
      </w:r>
      <w:proofErr w:type="spellStart"/>
      <w:r w:rsidRPr="007E3A83">
        <w:rPr>
          <w:rFonts w:ascii="Times New Roman" w:hAnsi="Times New Roman" w:cs="Times New Roman"/>
          <w:bCs/>
          <w:sz w:val="24"/>
          <w:szCs w:val="24"/>
          <w:lang w:val="es-ES"/>
        </w:rPr>
        <w:t>InDret</w:t>
      </w:r>
      <w:proofErr w:type="spellEnd"/>
      <w:r w:rsidRPr="007E3A83">
        <w:rPr>
          <w:rFonts w:ascii="Times New Roman" w:hAnsi="Times New Roman" w:cs="Times New Roman"/>
          <w:bCs/>
          <w:sz w:val="24"/>
          <w:szCs w:val="24"/>
          <w:lang w:val="es-ES"/>
        </w:rPr>
        <w:t xml:space="preserve"> Revista para el Análisis del Derecho, nº 4</w:t>
      </w:r>
    </w:p>
    <w:p w14:paraId="29E2BF96" w14:textId="1B67B8D0" w:rsidR="008B63F3" w:rsidRPr="008B63F3" w:rsidRDefault="008B63F3" w:rsidP="006A71A3">
      <w:pPr>
        <w:jc w:val="both"/>
        <w:rPr>
          <w:rFonts w:ascii="Times New Roman" w:hAnsi="Times New Roman" w:cs="Times New Roman"/>
          <w:bCs/>
          <w:sz w:val="24"/>
          <w:szCs w:val="24"/>
          <w:lang w:val="en-US"/>
        </w:rPr>
      </w:pPr>
      <w:r w:rsidRPr="008B63F3">
        <w:rPr>
          <w:rFonts w:ascii="Times New Roman" w:hAnsi="Times New Roman" w:cs="Times New Roman"/>
          <w:bCs/>
          <w:sz w:val="24"/>
          <w:szCs w:val="24"/>
          <w:lang w:val="en-US"/>
        </w:rPr>
        <w:t>Luke Dimitrios Spieker</w:t>
      </w:r>
      <w:r>
        <w:rPr>
          <w:rFonts w:ascii="Times New Roman" w:hAnsi="Times New Roman" w:cs="Times New Roman"/>
          <w:bCs/>
          <w:sz w:val="24"/>
          <w:szCs w:val="24"/>
          <w:lang w:val="en-US"/>
        </w:rPr>
        <w:t xml:space="preserve"> (2025), “</w:t>
      </w:r>
      <w:r w:rsidRPr="008B63F3">
        <w:rPr>
          <w:rFonts w:ascii="Times New Roman" w:hAnsi="Times New Roman" w:cs="Times New Roman"/>
          <w:bCs/>
          <w:sz w:val="24"/>
          <w:szCs w:val="24"/>
          <w:lang w:val="en-US"/>
        </w:rPr>
        <w:t>Tackling the Union’s “Orbán Problem” Now</w:t>
      </w:r>
      <w:r>
        <w:rPr>
          <w:rFonts w:ascii="Times New Roman" w:hAnsi="Times New Roman" w:cs="Times New Roman"/>
          <w:bCs/>
          <w:sz w:val="24"/>
          <w:szCs w:val="24"/>
          <w:lang w:val="en-US"/>
        </w:rPr>
        <w:t xml:space="preserve">. </w:t>
      </w:r>
      <w:r w:rsidRPr="008B63F3">
        <w:rPr>
          <w:rFonts w:ascii="Times New Roman" w:hAnsi="Times New Roman" w:cs="Times New Roman"/>
          <w:bCs/>
          <w:sz w:val="24"/>
          <w:szCs w:val="24"/>
          <w:lang w:val="en-US"/>
        </w:rPr>
        <w:t>Seizing Momentum, Reviving Article 7 TEU, Sharpening</w:t>
      </w:r>
      <w:r>
        <w:rPr>
          <w:rFonts w:ascii="Times New Roman" w:hAnsi="Times New Roman" w:cs="Times New Roman"/>
          <w:bCs/>
          <w:sz w:val="24"/>
          <w:szCs w:val="24"/>
          <w:lang w:val="en-US"/>
        </w:rPr>
        <w:t xml:space="preserve"> </w:t>
      </w:r>
      <w:r w:rsidRPr="008B63F3">
        <w:rPr>
          <w:rFonts w:ascii="Times New Roman" w:hAnsi="Times New Roman" w:cs="Times New Roman"/>
          <w:bCs/>
          <w:sz w:val="24"/>
          <w:szCs w:val="24"/>
          <w:lang w:val="en-US"/>
        </w:rPr>
        <w:t>Conditionality</w:t>
      </w:r>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in </w:t>
      </w:r>
      <w:proofErr w:type="spellStart"/>
      <w:r>
        <w:rPr>
          <w:rFonts w:ascii="Times New Roman" w:hAnsi="Times New Roman" w:cs="Times New Roman"/>
          <w:bCs/>
          <w:sz w:val="24"/>
          <w:szCs w:val="24"/>
          <w:lang w:val="en-US"/>
        </w:rPr>
        <w:t>Verfassungsblog</w:t>
      </w:r>
      <w:proofErr w:type="spellEnd"/>
      <w:r>
        <w:rPr>
          <w:rFonts w:ascii="Times New Roman" w:hAnsi="Times New Roman" w:cs="Times New Roman"/>
          <w:bCs/>
          <w:sz w:val="24"/>
          <w:szCs w:val="24"/>
          <w:lang w:val="en-US"/>
        </w:rPr>
        <w:t xml:space="preserve">, 10 April, </w:t>
      </w:r>
      <w:proofErr w:type="spellStart"/>
      <w:r>
        <w:rPr>
          <w:rFonts w:ascii="Times New Roman" w:hAnsi="Times New Roman" w:cs="Times New Roman"/>
          <w:bCs/>
          <w:sz w:val="24"/>
          <w:szCs w:val="24"/>
          <w:lang w:val="en-US"/>
        </w:rPr>
        <w:t>disponível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w:t>
      </w:r>
      <w:proofErr w:type="spellEnd"/>
      <w:r>
        <w:rPr>
          <w:rFonts w:ascii="Times New Roman" w:hAnsi="Times New Roman" w:cs="Times New Roman"/>
          <w:bCs/>
          <w:sz w:val="24"/>
          <w:szCs w:val="24"/>
          <w:lang w:val="en-US"/>
        </w:rPr>
        <w:t xml:space="preserve"> </w:t>
      </w:r>
      <w:hyperlink r:id="rId10" w:history="1">
        <w:r w:rsidRPr="009620E0">
          <w:rPr>
            <w:rStyle w:val="Hipervnculo"/>
            <w:rFonts w:ascii="Times New Roman" w:hAnsi="Times New Roman" w:cs="Times New Roman"/>
            <w:bCs/>
            <w:sz w:val="24"/>
            <w:szCs w:val="24"/>
            <w:lang w:val="en-US"/>
          </w:rPr>
          <w:t>https://verfassungsblog.de/tackling-orban-problem/</w:t>
        </w:r>
      </w:hyperlink>
      <w:r>
        <w:rPr>
          <w:rFonts w:ascii="Times New Roman" w:hAnsi="Times New Roman" w:cs="Times New Roman"/>
          <w:bCs/>
          <w:sz w:val="24"/>
          <w:szCs w:val="24"/>
          <w:lang w:val="en-US"/>
        </w:rPr>
        <w:t xml:space="preserve"> </w:t>
      </w:r>
    </w:p>
    <w:p w14:paraId="50C540ED" w14:textId="22E8C32F" w:rsidR="007159ED" w:rsidRDefault="007159ED" w:rsidP="007159ED">
      <w:pPr>
        <w:rPr>
          <w:rFonts w:ascii="Times New Roman" w:hAnsi="Times New Roman" w:cs="Times New Roman"/>
          <w:sz w:val="24"/>
          <w:szCs w:val="24"/>
          <w:lang w:val="en-GB"/>
        </w:rPr>
      </w:pPr>
      <w:r w:rsidRPr="00BC681C">
        <w:rPr>
          <w:rFonts w:ascii="Times New Roman" w:hAnsi="Times New Roman" w:cs="Times New Roman"/>
          <w:sz w:val="24"/>
          <w:szCs w:val="24"/>
          <w:lang w:val="en-GB"/>
        </w:rPr>
        <w:t>Mary</w:t>
      </w:r>
      <w:r w:rsidRPr="00BC681C">
        <w:rPr>
          <w:rFonts w:ascii="Times New Roman" w:hAnsi="Times New Roman" w:cs="Times New Roman"/>
          <w:smallCaps/>
          <w:sz w:val="24"/>
          <w:szCs w:val="24"/>
          <w:lang w:val="en-GB"/>
        </w:rPr>
        <w:t xml:space="preserve"> </w:t>
      </w:r>
      <w:r w:rsidRPr="007159ED">
        <w:rPr>
          <w:rFonts w:ascii="Times New Roman" w:hAnsi="Times New Roman" w:cs="Times New Roman"/>
          <w:sz w:val="24"/>
          <w:szCs w:val="24"/>
          <w:lang w:val="en-GB"/>
        </w:rPr>
        <w:t>Dobbs</w:t>
      </w:r>
      <w:r w:rsidR="00673321">
        <w:rPr>
          <w:rFonts w:ascii="Times New Roman" w:hAnsi="Times New Roman" w:cs="Times New Roman"/>
          <w:sz w:val="24"/>
          <w:szCs w:val="24"/>
          <w:lang w:val="en-GB"/>
        </w:rPr>
        <w:t xml:space="preserve"> (2014)</w:t>
      </w:r>
      <w:r w:rsidRPr="00BC681C">
        <w:rPr>
          <w:rFonts w:ascii="Times New Roman" w:hAnsi="Times New Roman" w:cs="Times New Roman"/>
          <w:sz w:val="24"/>
          <w:szCs w:val="24"/>
          <w:lang w:val="en-GB"/>
        </w:rPr>
        <w:t>, “Sovereignty, Article 4(2) TEU and the respect of National Identities: Swinging the Balance of Power in Favour of the Member States?</w:t>
      </w:r>
      <w:proofErr w:type="gramStart"/>
      <w:r w:rsidRPr="00BC681C">
        <w:rPr>
          <w:rFonts w:ascii="Times New Roman" w:hAnsi="Times New Roman" w:cs="Times New Roman"/>
          <w:sz w:val="24"/>
          <w:szCs w:val="24"/>
          <w:lang w:val="en-GB"/>
        </w:rPr>
        <w:t>”,</w:t>
      </w:r>
      <w:proofErr w:type="gramEnd"/>
      <w:r w:rsidRPr="00BC681C">
        <w:rPr>
          <w:rFonts w:ascii="Times New Roman" w:hAnsi="Times New Roman" w:cs="Times New Roman"/>
          <w:sz w:val="24"/>
          <w:szCs w:val="24"/>
          <w:lang w:val="en-GB"/>
        </w:rPr>
        <w:t xml:space="preserve">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Yearbook of European Law, Vol. 33, No. 1</w:t>
      </w:r>
    </w:p>
    <w:p w14:paraId="4621C00E" w14:textId="35851F7D" w:rsidR="003D6A83" w:rsidRDefault="003D6A83" w:rsidP="007159ED">
      <w:pPr>
        <w:rPr>
          <w:rFonts w:ascii="Times New Roman" w:hAnsi="Times New Roman" w:cs="Times New Roman"/>
          <w:bCs/>
          <w:sz w:val="24"/>
          <w:szCs w:val="24"/>
          <w:lang w:val="en-GB"/>
        </w:rPr>
      </w:pPr>
      <w:r w:rsidRPr="00BC681C">
        <w:rPr>
          <w:rFonts w:ascii="Times New Roman" w:hAnsi="Times New Roman" w:cs="Times New Roman"/>
          <w:bCs/>
          <w:sz w:val="24"/>
          <w:szCs w:val="24"/>
          <w:lang w:val="en-GB"/>
        </w:rPr>
        <w:t xml:space="preserve">Massimo </w:t>
      </w:r>
      <w:proofErr w:type="spellStart"/>
      <w:r w:rsidRPr="003D6A83">
        <w:rPr>
          <w:rFonts w:ascii="Times New Roman" w:hAnsi="Times New Roman" w:cs="Times New Roman"/>
          <w:bCs/>
          <w:sz w:val="24"/>
          <w:szCs w:val="24"/>
          <w:lang w:val="en-GB"/>
        </w:rPr>
        <w:t>Fichera</w:t>
      </w:r>
      <w:proofErr w:type="spellEnd"/>
      <w:r>
        <w:rPr>
          <w:rFonts w:ascii="Times New Roman" w:hAnsi="Times New Roman" w:cs="Times New Roman"/>
          <w:bCs/>
          <w:sz w:val="24"/>
          <w:szCs w:val="24"/>
          <w:lang w:val="en-GB"/>
        </w:rPr>
        <w:t xml:space="preserve"> </w:t>
      </w:r>
      <w:r w:rsidRPr="00BC681C">
        <w:rPr>
          <w:rFonts w:ascii="Times New Roman" w:hAnsi="Times New Roman" w:cs="Times New Roman"/>
          <w:bCs/>
          <w:sz w:val="24"/>
          <w:szCs w:val="24"/>
          <w:lang w:val="en-GB"/>
        </w:rPr>
        <w:t>and</w:t>
      </w:r>
      <w:r w:rsidRPr="004C27CB">
        <w:rPr>
          <w:rFonts w:ascii="Times New Roman" w:hAnsi="Times New Roman" w:cs="Times New Roman"/>
          <w:bCs/>
          <w:sz w:val="24"/>
          <w:szCs w:val="24"/>
          <w:lang w:val="en-GB"/>
        </w:rPr>
        <w:t xml:space="preserve"> </w:t>
      </w:r>
      <w:proofErr w:type="spellStart"/>
      <w:r w:rsidRPr="00BC681C">
        <w:rPr>
          <w:rFonts w:ascii="Times New Roman" w:hAnsi="Times New Roman" w:cs="Times New Roman"/>
          <w:bCs/>
          <w:sz w:val="24"/>
          <w:szCs w:val="24"/>
          <w:lang w:val="en-GB"/>
        </w:rPr>
        <w:t>Oreste</w:t>
      </w:r>
      <w:proofErr w:type="spellEnd"/>
      <w:r w:rsidRPr="00BC681C">
        <w:rPr>
          <w:rFonts w:ascii="Times New Roman" w:hAnsi="Times New Roman" w:cs="Times New Roman"/>
          <w:bCs/>
          <w:sz w:val="24"/>
          <w:szCs w:val="24"/>
          <w:lang w:val="en-GB"/>
        </w:rPr>
        <w:t xml:space="preserve"> </w:t>
      </w:r>
      <w:proofErr w:type="spellStart"/>
      <w:r w:rsidRPr="003D6A83">
        <w:rPr>
          <w:rFonts w:ascii="Times New Roman" w:hAnsi="Times New Roman" w:cs="Times New Roman"/>
          <w:bCs/>
          <w:sz w:val="24"/>
          <w:szCs w:val="24"/>
          <w:lang w:val="en-GB"/>
        </w:rPr>
        <w:t>Pollicini</w:t>
      </w:r>
      <w:proofErr w:type="spellEnd"/>
      <w:r w:rsidR="00BC60A1">
        <w:rPr>
          <w:rFonts w:ascii="Times New Roman" w:hAnsi="Times New Roman" w:cs="Times New Roman"/>
          <w:bCs/>
          <w:sz w:val="24"/>
          <w:szCs w:val="24"/>
          <w:lang w:val="en-GB"/>
        </w:rPr>
        <w:t xml:space="preserve"> (2019)</w:t>
      </w:r>
      <w:r w:rsidRPr="00BC681C">
        <w:rPr>
          <w:rFonts w:ascii="Times New Roman" w:hAnsi="Times New Roman" w:cs="Times New Roman"/>
          <w:bCs/>
          <w:sz w:val="24"/>
          <w:szCs w:val="24"/>
          <w:lang w:val="en-GB"/>
        </w:rPr>
        <w:t>, “The Dialectics Between Constitutional Identity and Common Constitutional Traditions: Which Language for Cooperative Constitutionalism in Europe?</w:t>
      </w:r>
      <w:proofErr w:type="gramStart"/>
      <w:r w:rsidRPr="00BC681C">
        <w:rPr>
          <w:rFonts w:ascii="Times New Roman" w:hAnsi="Times New Roman" w:cs="Times New Roman"/>
          <w:bCs/>
          <w:sz w:val="24"/>
          <w:szCs w:val="24"/>
          <w:lang w:val="en-GB"/>
        </w:rPr>
        <w:t>”,</w:t>
      </w:r>
      <w:proofErr w:type="gramEnd"/>
      <w:r w:rsidRPr="00BC681C">
        <w:rPr>
          <w:rFonts w:ascii="Times New Roman" w:hAnsi="Times New Roman" w:cs="Times New Roman"/>
          <w:bCs/>
          <w:sz w:val="24"/>
          <w:szCs w:val="24"/>
          <w:lang w:val="en-GB"/>
        </w:rPr>
        <w:t xml:space="preserve"> </w:t>
      </w:r>
      <w:r w:rsidRPr="00BC681C">
        <w:rPr>
          <w:rFonts w:ascii="Times New Roman" w:hAnsi="Times New Roman" w:cs="Times New Roman"/>
          <w:bCs/>
          <w:i/>
          <w:sz w:val="24"/>
          <w:szCs w:val="24"/>
          <w:lang w:val="en-GB"/>
        </w:rPr>
        <w:t>in</w:t>
      </w:r>
      <w:r w:rsidRPr="00BC681C">
        <w:rPr>
          <w:rFonts w:ascii="Times New Roman" w:hAnsi="Times New Roman" w:cs="Times New Roman"/>
          <w:bCs/>
          <w:sz w:val="24"/>
          <w:szCs w:val="24"/>
          <w:lang w:val="en-GB"/>
        </w:rPr>
        <w:t xml:space="preserve"> German Law Journal, Vol. 20, Issue 8</w:t>
      </w:r>
    </w:p>
    <w:p w14:paraId="6BECF321" w14:textId="7DF464B4" w:rsidR="00666BCE" w:rsidRPr="007159ED" w:rsidRDefault="00666BCE" w:rsidP="007159ED">
      <w:pPr>
        <w:rPr>
          <w:lang w:val="en-US"/>
        </w:rPr>
      </w:pPr>
      <w:r w:rsidRPr="00BC681C">
        <w:rPr>
          <w:rFonts w:ascii="Times New Roman" w:hAnsi="Times New Roman" w:cs="Times New Roman"/>
          <w:bCs/>
          <w:sz w:val="24"/>
          <w:szCs w:val="24"/>
          <w:lang w:val="en-GB"/>
        </w:rPr>
        <w:t>Matej</w:t>
      </w:r>
      <w:r w:rsidRPr="00BC681C">
        <w:rPr>
          <w:rFonts w:ascii="Times New Roman" w:hAnsi="Times New Roman" w:cs="Times New Roman"/>
          <w:bCs/>
          <w:smallCaps/>
          <w:sz w:val="24"/>
          <w:szCs w:val="24"/>
          <w:lang w:val="en-GB"/>
        </w:rPr>
        <w:t xml:space="preserve"> </w:t>
      </w:r>
      <w:r w:rsidRPr="00666BCE">
        <w:rPr>
          <w:rFonts w:ascii="Times New Roman" w:hAnsi="Times New Roman" w:cs="Times New Roman"/>
          <w:bCs/>
          <w:sz w:val="24"/>
          <w:szCs w:val="24"/>
          <w:lang w:val="en-GB"/>
        </w:rPr>
        <w:t>Avbelj</w:t>
      </w:r>
      <w:r w:rsidR="00BC60A1">
        <w:rPr>
          <w:rFonts w:ascii="Times New Roman" w:hAnsi="Times New Roman" w:cs="Times New Roman"/>
          <w:bCs/>
          <w:sz w:val="24"/>
          <w:szCs w:val="24"/>
          <w:lang w:val="en-GB"/>
        </w:rPr>
        <w:t xml:space="preserve"> (2020)</w:t>
      </w:r>
      <w:r w:rsidRPr="00BC681C">
        <w:rPr>
          <w:rFonts w:ascii="Times New Roman" w:hAnsi="Times New Roman" w:cs="Times New Roman"/>
          <w:bCs/>
          <w:sz w:val="24"/>
          <w:szCs w:val="24"/>
          <w:lang w:val="en-GB"/>
        </w:rPr>
        <w:t xml:space="preserve">, “The Federal Constitutional Court Rules for a Bright Future of Constitutional Pluralism”, </w:t>
      </w:r>
      <w:r w:rsidRPr="00BC681C">
        <w:rPr>
          <w:rFonts w:ascii="Times New Roman" w:hAnsi="Times New Roman" w:cs="Times New Roman"/>
          <w:bCs/>
          <w:i/>
          <w:sz w:val="24"/>
          <w:szCs w:val="24"/>
          <w:lang w:val="en-GB"/>
        </w:rPr>
        <w:t>in</w:t>
      </w:r>
      <w:r w:rsidRPr="00BC681C">
        <w:rPr>
          <w:rFonts w:ascii="Times New Roman" w:hAnsi="Times New Roman" w:cs="Times New Roman"/>
          <w:bCs/>
          <w:sz w:val="24"/>
          <w:szCs w:val="24"/>
          <w:lang w:val="en-GB"/>
        </w:rPr>
        <w:t xml:space="preserve"> German Law Journal, Vol. 21, Issue S1</w:t>
      </w:r>
    </w:p>
    <w:p w14:paraId="5942A2BE" w14:textId="5B84F71C" w:rsidR="00BA0FD1" w:rsidRDefault="00BA0FD1" w:rsidP="00BD2DDB">
      <w:pPr>
        <w:jc w:val="both"/>
        <w:rPr>
          <w:rFonts w:ascii="Times New Roman" w:hAnsi="Times New Roman" w:cs="Times New Roman"/>
          <w:sz w:val="24"/>
          <w:szCs w:val="24"/>
          <w:lang w:val="en-US"/>
        </w:rPr>
      </w:pPr>
      <w:r w:rsidRPr="00BA0FD1">
        <w:rPr>
          <w:rFonts w:ascii="Times New Roman" w:hAnsi="Times New Roman" w:cs="Times New Roman"/>
          <w:sz w:val="24"/>
          <w:szCs w:val="24"/>
          <w:lang w:val="en-US"/>
        </w:rPr>
        <w:t xml:space="preserve">Michel </w:t>
      </w:r>
      <w:r>
        <w:rPr>
          <w:rFonts w:ascii="Times New Roman" w:hAnsi="Times New Roman" w:cs="Times New Roman"/>
          <w:sz w:val="24"/>
          <w:szCs w:val="24"/>
          <w:lang w:val="en-US"/>
        </w:rPr>
        <w:t>Rosenfeld (2012),</w:t>
      </w:r>
      <w:r w:rsidRPr="00BA0FD1">
        <w:rPr>
          <w:rFonts w:ascii="Times New Roman" w:hAnsi="Times New Roman" w:cs="Times New Roman"/>
          <w:sz w:val="24"/>
          <w:szCs w:val="24"/>
          <w:lang w:val="en-US"/>
        </w:rPr>
        <w:t xml:space="preserve"> “Constitutional Identity”, in Michel </w:t>
      </w:r>
      <w:r w:rsidR="00BD2DDB">
        <w:rPr>
          <w:rFonts w:ascii="Times New Roman" w:hAnsi="Times New Roman" w:cs="Times New Roman"/>
          <w:sz w:val="24"/>
          <w:szCs w:val="24"/>
          <w:lang w:val="en-US"/>
        </w:rPr>
        <w:t>Rosenfeld</w:t>
      </w:r>
      <w:r w:rsidRPr="00BA0FD1">
        <w:rPr>
          <w:rFonts w:ascii="Times New Roman" w:hAnsi="Times New Roman" w:cs="Times New Roman"/>
          <w:sz w:val="24"/>
          <w:szCs w:val="24"/>
          <w:lang w:val="en-US"/>
        </w:rPr>
        <w:t xml:space="preserve"> and András </w:t>
      </w:r>
      <w:r w:rsidR="00BD2DDB">
        <w:rPr>
          <w:rFonts w:ascii="Times New Roman" w:hAnsi="Times New Roman" w:cs="Times New Roman"/>
          <w:sz w:val="24"/>
          <w:szCs w:val="24"/>
          <w:lang w:val="en-US"/>
        </w:rPr>
        <w:t>Sajó</w:t>
      </w:r>
      <w:r w:rsidRPr="00BA0FD1">
        <w:rPr>
          <w:rFonts w:ascii="Times New Roman" w:hAnsi="Times New Roman" w:cs="Times New Roman"/>
          <w:sz w:val="24"/>
          <w:szCs w:val="24"/>
          <w:lang w:val="en-US"/>
        </w:rPr>
        <w:t xml:space="preserve"> (Eds.), </w:t>
      </w:r>
      <w:proofErr w:type="gramStart"/>
      <w:r w:rsidRPr="00BA0FD1">
        <w:rPr>
          <w:rFonts w:ascii="Times New Roman" w:hAnsi="Times New Roman" w:cs="Times New Roman"/>
          <w:sz w:val="24"/>
          <w:szCs w:val="24"/>
          <w:lang w:val="en-US"/>
        </w:rPr>
        <w:t>The</w:t>
      </w:r>
      <w:proofErr w:type="gramEnd"/>
      <w:r w:rsidRPr="00BA0FD1">
        <w:rPr>
          <w:rFonts w:ascii="Times New Roman" w:hAnsi="Times New Roman" w:cs="Times New Roman"/>
          <w:sz w:val="24"/>
          <w:szCs w:val="24"/>
          <w:lang w:val="en-US"/>
        </w:rPr>
        <w:t xml:space="preserve"> Oxford Handbook of Comparative Constitutional Law, Oxford University Press</w:t>
      </w:r>
    </w:p>
    <w:p w14:paraId="6FD90FEA" w14:textId="78FDEA51" w:rsidR="00673C11" w:rsidRDefault="00673C11"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lastRenderedPageBreak/>
        <w:t>Michel</w:t>
      </w:r>
      <w:r w:rsidRPr="00BC681C">
        <w:rPr>
          <w:rFonts w:ascii="Times New Roman" w:hAnsi="Times New Roman" w:cs="Times New Roman"/>
          <w:smallCaps/>
          <w:sz w:val="24"/>
          <w:szCs w:val="24"/>
          <w:lang w:val="en-GB"/>
        </w:rPr>
        <w:t xml:space="preserve"> </w:t>
      </w:r>
      <w:r w:rsidRPr="00673C11">
        <w:rPr>
          <w:rFonts w:ascii="Times New Roman" w:hAnsi="Times New Roman" w:cs="Times New Roman"/>
          <w:sz w:val="24"/>
          <w:szCs w:val="24"/>
          <w:lang w:val="en-GB"/>
        </w:rPr>
        <w:t>Rosenfeld</w:t>
      </w:r>
      <w:r w:rsidR="00E02FEA">
        <w:rPr>
          <w:rFonts w:ascii="Times New Roman" w:hAnsi="Times New Roman" w:cs="Times New Roman"/>
          <w:sz w:val="24"/>
          <w:szCs w:val="24"/>
          <w:lang w:val="en-GB"/>
        </w:rPr>
        <w:t xml:space="preserve"> (2005)</w:t>
      </w:r>
      <w:r w:rsidRPr="00BC681C">
        <w:rPr>
          <w:rFonts w:ascii="Times New Roman" w:hAnsi="Times New Roman" w:cs="Times New Roman"/>
          <w:sz w:val="24"/>
          <w:szCs w:val="24"/>
          <w:lang w:val="en-GB"/>
        </w:rPr>
        <w:t xml:space="preserve">, “The European treaty – constitution and constitutional identity: a view from America”,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International Journal of Constitutional Law, Vol. 3, Issue 2-3, May</w:t>
      </w:r>
    </w:p>
    <w:p w14:paraId="7AFE5E3F" w14:textId="4A547C6D" w:rsidR="00CC3487" w:rsidRDefault="00CC3487" w:rsidP="00BD2DDB">
      <w:pPr>
        <w:jc w:val="both"/>
        <w:rPr>
          <w:rFonts w:ascii="Times New Roman" w:hAnsi="Times New Roman" w:cs="Times New Roman"/>
          <w:sz w:val="24"/>
          <w:szCs w:val="24"/>
          <w:lang w:val="en-US"/>
        </w:rPr>
      </w:pPr>
      <w:r w:rsidRPr="00CC3487">
        <w:rPr>
          <w:rFonts w:ascii="Times New Roman" w:hAnsi="Times New Roman" w:cs="Times New Roman"/>
          <w:sz w:val="24"/>
          <w:szCs w:val="24"/>
          <w:lang w:val="en-US"/>
        </w:rPr>
        <w:t>Miguel João Costa, Raquel Cardoso, Vânia Costa Ramos</w:t>
      </w:r>
      <w:r>
        <w:rPr>
          <w:rFonts w:ascii="Times New Roman" w:hAnsi="Times New Roman" w:cs="Times New Roman"/>
          <w:sz w:val="24"/>
          <w:szCs w:val="24"/>
          <w:lang w:val="en-US"/>
        </w:rPr>
        <w:t xml:space="preserve"> (2024)</w:t>
      </w:r>
      <w:r w:rsidRPr="00CC3487">
        <w:rPr>
          <w:rFonts w:ascii="Times New Roman" w:hAnsi="Times New Roman" w:cs="Times New Roman"/>
          <w:sz w:val="24"/>
          <w:szCs w:val="24"/>
          <w:lang w:val="en-US"/>
        </w:rPr>
        <w:t xml:space="preserve">, “The Second Life of the European Arrest Warrant: An Analysis of the Protective Potential of Mutual Recognition against Extradition to Third States”, </w:t>
      </w:r>
      <w:r w:rsidRPr="00CC3487">
        <w:rPr>
          <w:rFonts w:ascii="Times New Roman" w:hAnsi="Times New Roman" w:cs="Times New Roman"/>
          <w:i/>
          <w:iCs/>
          <w:sz w:val="24"/>
          <w:szCs w:val="24"/>
          <w:lang w:val="en-US"/>
        </w:rPr>
        <w:t xml:space="preserve">in </w:t>
      </w:r>
      <w:r w:rsidRPr="00CC3487">
        <w:rPr>
          <w:rFonts w:ascii="Times New Roman" w:hAnsi="Times New Roman" w:cs="Times New Roman"/>
          <w:sz w:val="24"/>
          <w:szCs w:val="24"/>
          <w:lang w:val="en-US"/>
        </w:rPr>
        <w:t>Transnational Criminal Law Review, Vol. 3. No. 1</w:t>
      </w:r>
    </w:p>
    <w:p w14:paraId="39A89F7B" w14:textId="4E2B981D" w:rsidR="00C53B06" w:rsidRPr="00C53B06" w:rsidRDefault="00C53B06" w:rsidP="00BD2DDB">
      <w:pPr>
        <w:jc w:val="both"/>
        <w:rPr>
          <w:rFonts w:ascii="Times New Roman" w:hAnsi="Times New Roman" w:cs="Times New Roman"/>
          <w:sz w:val="24"/>
          <w:szCs w:val="24"/>
          <w:lang w:val="en-US"/>
        </w:rPr>
      </w:pPr>
      <w:r w:rsidRPr="00692172">
        <w:rPr>
          <w:rFonts w:ascii="Times New Roman" w:hAnsi="Times New Roman" w:cs="Times New Roman"/>
          <w:sz w:val="24"/>
          <w:szCs w:val="24"/>
          <w:lang w:val="en-US"/>
        </w:rPr>
        <w:t xml:space="preserve">Niovi Vavoula (2019), “C-61/11 PPU – El Dridi. </w:t>
      </w:r>
      <w:proofErr w:type="spellStart"/>
      <w:r w:rsidRPr="00C53B06">
        <w:rPr>
          <w:rFonts w:ascii="Times New Roman" w:hAnsi="Times New Roman" w:cs="Times New Roman"/>
          <w:sz w:val="24"/>
          <w:szCs w:val="24"/>
          <w:lang w:val="en-US"/>
        </w:rPr>
        <w:t>Criminalisation</w:t>
      </w:r>
      <w:proofErr w:type="spellEnd"/>
      <w:r w:rsidRPr="00C53B06">
        <w:rPr>
          <w:rFonts w:ascii="Times New Roman" w:hAnsi="Times New Roman" w:cs="Times New Roman"/>
          <w:sz w:val="24"/>
          <w:szCs w:val="24"/>
          <w:lang w:val="en-US"/>
        </w:rPr>
        <w:t xml:space="preserve"> of Irregular Migration in the EU: The Impact of El </w:t>
      </w:r>
      <w:proofErr w:type="spellStart"/>
      <w:r w:rsidRPr="00C53B06">
        <w:rPr>
          <w:rFonts w:ascii="Times New Roman" w:hAnsi="Times New Roman" w:cs="Times New Roman"/>
          <w:sz w:val="24"/>
          <w:szCs w:val="24"/>
          <w:lang w:val="en-US"/>
        </w:rPr>
        <w:t>Dridi</w:t>
      </w:r>
      <w:proofErr w:type="spellEnd"/>
      <w:r w:rsidRPr="00C53B06">
        <w:rPr>
          <w:rFonts w:ascii="Times New Roman" w:hAnsi="Times New Roman" w:cs="Times New Roman"/>
          <w:sz w:val="24"/>
          <w:szCs w:val="24"/>
          <w:lang w:val="en-US"/>
        </w:rPr>
        <w:t xml:space="preserve">”, </w:t>
      </w:r>
      <w:r w:rsidRPr="00C53B06">
        <w:rPr>
          <w:rFonts w:ascii="Times New Roman" w:hAnsi="Times New Roman" w:cs="Times New Roman"/>
          <w:i/>
          <w:iCs/>
          <w:sz w:val="24"/>
          <w:szCs w:val="24"/>
          <w:lang w:val="en-US"/>
        </w:rPr>
        <w:t>in</w:t>
      </w:r>
      <w:r w:rsidRPr="00C53B06">
        <w:rPr>
          <w:rFonts w:ascii="Times New Roman" w:hAnsi="Times New Roman" w:cs="Times New Roman"/>
          <w:sz w:val="24"/>
          <w:szCs w:val="24"/>
          <w:lang w:val="en-US"/>
        </w:rPr>
        <w:t xml:space="preserve"> </w:t>
      </w:r>
      <w:proofErr w:type="spellStart"/>
      <w:r w:rsidRPr="00C53B06">
        <w:rPr>
          <w:rFonts w:ascii="Times New Roman" w:hAnsi="Times New Roman" w:cs="Times New Roman"/>
          <w:sz w:val="24"/>
          <w:szCs w:val="24"/>
          <w:lang w:val="en-US"/>
        </w:rPr>
        <w:t>V</w:t>
      </w:r>
      <w:r w:rsidR="006C0392">
        <w:rPr>
          <w:rFonts w:ascii="Times New Roman" w:hAnsi="Times New Roman" w:cs="Times New Roman"/>
          <w:sz w:val="24"/>
          <w:szCs w:val="24"/>
          <w:lang w:val="en-US"/>
        </w:rPr>
        <w:t>alsamis</w:t>
      </w:r>
      <w:proofErr w:type="spellEnd"/>
      <w:r w:rsidRPr="00C53B06">
        <w:rPr>
          <w:rFonts w:ascii="Times New Roman" w:hAnsi="Times New Roman" w:cs="Times New Roman"/>
          <w:sz w:val="24"/>
          <w:szCs w:val="24"/>
          <w:lang w:val="en-US"/>
        </w:rPr>
        <w:t xml:space="preserve"> </w:t>
      </w:r>
      <w:proofErr w:type="spellStart"/>
      <w:r w:rsidRPr="00C53B06">
        <w:rPr>
          <w:rFonts w:ascii="Times New Roman" w:hAnsi="Times New Roman" w:cs="Times New Roman"/>
          <w:sz w:val="24"/>
          <w:szCs w:val="24"/>
          <w:lang w:val="en-US"/>
        </w:rPr>
        <w:t>Mitsilegas</w:t>
      </w:r>
      <w:proofErr w:type="spellEnd"/>
      <w:r w:rsidRPr="00C53B06">
        <w:rPr>
          <w:rFonts w:ascii="Times New Roman" w:hAnsi="Times New Roman" w:cs="Times New Roman"/>
          <w:sz w:val="24"/>
          <w:szCs w:val="24"/>
          <w:lang w:val="en-US"/>
        </w:rPr>
        <w:t>, A</w:t>
      </w:r>
      <w:r w:rsidR="006C0392">
        <w:rPr>
          <w:rFonts w:ascii="Times New Roman" w:hAnsi="Times New Roman" w:cs="Times New Roman"/>
          <w:sz w:val="24"/>
          <w:szCs w:val="24"/>
          <w:lang w:val="en-US"/>
        </w:rPr>
        <w:t>lberto</w:t>
      </w:r>
      <w:r w:rsidRPr="00C53B06">
        <w:rPr>
          <w:rFonts w:ascii="Times New Roman" w:hAnsi="Times New Roman" w:cs="Times New Roman"/>
          <w:sz w:val="24"/>
          <w:szCs w:val="24"/>
          <w:lang w:val="en-US"/>
        </w:rPr>
        <w:t xml:space="preserve"> di Martino &amp; L</w:t>
      </w:r>
      <w:r w:rsidR="006C0392">
        <w:rPr>
          <w:rFonts w:ascii="Times New Roman" w:hAnsi="Times New Roman" w:cs="Times New Roman"/>
          <w:sz w:val="24"/>
          <w:szCs w:val="24"/>
          <w:lang w:val="en-US"/>
        </w:rPr>
        <w:t>eandro</w:t>
      </w:r>
      <w:r w:rsidRPr="00C53B06">
        <w:rPr>
          <w:rFonts w:ascii="Times New Roman" w:hAnsi="Times New Roman" w:cs="Times New Roman"/>
          <w:sz w:val="24"/>
          <w:szCs w:val="24"/>
          <w:lang w:val="en-US"/>
        </w:rPr>
        <w:t xml:space="preserve"> Mancano (Eds.), </w:t>
      </w:r>
      <w:r w:rsidRPr="00C53B06">
        <w:rPr>
          <w:rFonts w:ascii="Times New Roman" w:hAnsi="Times New Roman" w:cs="Times New Roman"/>
          <w:i/>
          <w:iCs/>
          <w:sz w:val="24"/>
          <w:szCs w:val="24"/>
          <w:lang w:val="en-US"/>
        </w:rPr>
        <w:t>The Court of Justice and European Criminal Law. Leading Cases in a Contextual Analysis</w:t>
      </w:r>
      <w:r w:rsidRPr="00C53B06">
        <w:rPr>
          <w:rFonts w:ascii="Times New Roman" w:hAnsi="Times New Roman" w:cs="Times New Roman"/>
          <w:sz w:val="24"/>
          <w:szCs w:val="24"/>
          <w:lang w:val="en-US"/>
        </w:rPr>
        <w:t>, Oxford: Hart</w:t>
      </w:r>
    </w:p>
    <w:p w14:paraId="5C65DCC7" w14:textId="52365B1A" w:rsidR="003B0C3E" w:rsidRPr="003B0C3E" w:rsidRDefault="003B0C3E" w:rsidP="003B0C3E">
      <w:pPr>
        <w:rPr>
          <w:lang w:val="en-US"/>
        </w:rPr>
      </w:pPr>
      <w:r w:rsidRPr="00BC681C">
        <w:rPr>
          <w:rFonts w:ascii="Times New Roman" w:hAnsi="Times New Roman" w:cs="Times New Roman"/>
          <w:sz w:val="24"/>
          <w:szCs w:val="24"/>
          <w:lang w:val="en-GB"/>
        </w:rPr>
        <w:t>Patricia</w:t>
      </w:r>
      <w:r w:rsidRPr="00BC681C">
        <w:rPr>
          <w:rFonts w:ascii="Times New Roman" w:hAnsi="Times New Roman" w:cs="Times New Roman"/>
          <w:smallCaps/>
          <w:sz w:val="24"/>
          <w:szCs w:val="24"/>
          <w:lang w:val="en-GB"/>
        </w:rPr>
        <w:t xml:space="preserve"> </w:t>
      </w:r>
      <w:r w:rsidRPr="003B0C3E">
        <w:rPr>
          <w:rFonts w:ascii="Times New Roman" w:hAnsi="Times New Roman" w:cs="Times New Roman"/>
          <w:sz w:val="24"/>
          <w:szCs w:val="24"/>
          <w:lang w:val="en-GB"/>
        </w:rPr>
        <w:t>Popelier</w:t>
      </w:r>
      <w:r>
        <w:rPr>
          <w:rFonts w:ascii="Times New Roman" w:hAnsi="Times New Roman" w:cs="Times New Roman"/>
          <w:smallCaps/>
          <w:sz w:val="24"/>
          <w:szCs w:val="24"/>
          <w:lang w:val="en-GB"/>
        </w:rPr>
        <w:t>,</w:t>
      </w:r>
      <w:r w:rsidRPr="00BC681C">
        <w:rPr>
          <w:rFonts w:ascii="Times New Roman" w:hAnsi="Times New Roman" w:cs="Times New Roman"/>
          <w:sz w:val="24"/>
          <w:szCs w:val="24"/>
          <w:lang w:val="en-GB"/>
        </w:rPr>
        <w:t xml:space="preserve"> Giulia </w:t>
      </w:r>
      <w:r w:rsidRPr="003B0C3E">
        <w:rPr>
          <w:rFonts w:ascii="Times New Roman" w:hAnsi="Times New Roman" w:cs="Times New Roman"/>
          <w:sz w:val="24"/>
          <w:szCs w:val="24"/>
          <w:lang w:val="en-GB"/>
        </w:rPr>
        <w:t>Gentile</w:t>
      </w:r>
      <w:r w:rsidRPr="00BC681C">
        <w:rPr>
          <w:rFonts w:ascii="Times New Roman" w:hAnsi="Times New Roman" w:cs="Times New Roman"/>
          <w:sz w:val="24"/>
          <w:szCs w:val="24"/>
          <w:lang w:val="en-GB"/>
        </w:rPr>
        <w:t xml:space="preserve"> and</w:t>
      </w:r>
      <w:r w:rsidRPr="00107322">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 xml:space="preserve">Ester </w:t>
      </w:r>
      <w:r w:rsidRPr="003B0C3E">
        <w:rPr>
          <w:rFonts w:ascii="Times New Roman" w:hAnsi="Times New Roman" w:cs="Times New Roman"/>
          <w:sz w:val="24"/>
          <w:szCs w:val="24"/>
          <w:lang w:val="en-GB"/>
        </w:rPr>
        <w:t xml:space="preserve">van </w:t>
      </w:r>
      <w:proofErr w:type="spellStart"/>
      <w:r w:rsidRPr="003B0C3E">
        <w:rPr>
          <w:rFonts w:ascii="Times New Roman" w:hAnsi="Times New Roman" w:cs="Times New Roman"/>
          <w:sz w:val="24"/>
          <w:szCs w:val="24"/>
          <w:lang w:val="en-GB"/>
        </w:rPr>
        <w:t>Zimmeren</w:t>
      </w:r>
      <w:proofErr w:type="spellEnd"/>
      <w:r w:rsidR="00F05CDD">
        <w:rPr>
          <w:rFonts w:ascii="Times New Roman" w:hAnsi="Times New Roman" w:cs="Times New Roman"/>
          <w:sz w:val="24"/>
          <w:szCs w:val="24"/>
          <w:lang w:val="en-GB"/>
        </w:rPr>
        <w:t xml:space="preserve"> (2022)</w:t>
      </w:r>
      <w:r w:rsidRPr="00BC681C">
        <w:rPr>
          <w:rFonts w:ascii="Times New Roman" w:hAnsi="Times New Roman" w:cs="Times New Roman"/>
          <w:sz w:val="24"/>
          <w:szCs w:val="24"/>
          <w:lang w:val="en-GB"/>
        </w:rPr>
        <w:t xml:space="preserve">, “Bridging the gap between facts and norms: mutual trust, the European Arrest Warrant and the rule of law in an interdisciplinary context”, </w:t>
      </w:r>
      <w:r w:rsidRPr="00BC681C">
        <w:rPr>
          <w:rFonts w:ascii="Times New Roman" w:hAnsi="Times New Roman" w:cs="Times New Roman"/>
          <w:i/>
          <w:iCs/>
          <w:sz w:val="24"/>
          <w:szCs w:val="24"/>
          <w:lang w:val="en-GB"/>
        </w:rPr>
        <w:t>in</w:t>
      </w:r>
      <w:r w:rsidRPr="00BC681C">
        <w:rPr>
          <w:rFonts w:ascii="Times New Roman" w:hAnsi="Times New Roman" w:cs="Times New Roman"/>
          <w:sz w:val="24"/>
          <w:szCs w:val="24"/>
          <w:lang w:val="en-GB"/>
        </w:rPr>
        <w:t xml:space="preserve"> European Law Journal, 27</w:t>
      </w:r>
    </w:p>
    <w:p w14:paraId="7F08C8A4" w14:textId="6CB25D8B" w:rsidR="0023614E" w:rsidRDefault="0023614E"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Paul</w:t>
      </w:r>
      <w:r w:rsidRPr="00BC681C">
        <w:rPr>
          <w:rFonts w:ascii="Times New Roman" w:hAnsi="Times New Roman" w:cs="Times New Roman"/>
          <w:smallCaps/>
          <w:sz w:val="24"/>
          <w:szCs w:val="24"/>
          <w:lang w:val="en-GB"/>
        </w:rPr>
        <w:t xml:space="preserve"> </w:t>
      </w:r>
      <w:r w:rsidRPr="0023614E">
        <w:rPr>
          <w:rFonts w:ascii="Times New Roman" w:hAnsi="Times New Roman" w:cs="Times New Roman"/>
          <w:sz w:val="24"/>
          <w:szCs w:val="24"/>
          <w:lang w:val="en-GB"/>
        </w:rPr>
        <w:t>Kirchhof</w:t>
      </w:r>
      <w:r w:rsidR="00CA39BB">
        <w:rPr>
          <w:rFonts w:ascii="Times New Roman" w:hAnsi="Times New Roman" w:cs="Times New Roman"/>
          <w:sz w:val="24"/>
          <w:szCs w:val="24"/>
          <w:lang w:val="en-GB"/>
        </w:rPr>
        <w:t xml:space="preserve"> (2010)</w:t>
      </w:r>
      <w:r w:rsidRPr="00BC681C">
        <w:rPr>
          <w:rFonts w:ascii="Times New Roman" w:hAnsi="Times New Roman" w:cs="Times New Roman"/>
          <w:sz w:val="24"/>
          <w:szCs w:val="24"/>
          <w:lang w:val="en-GB"/>
        </w:rPr>
        <w:t xml:space="preserve">, “The European Union of States”,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Armin </w:t>
      </w:r>
      <w:r w:rsidRPr="000E6415">
        <w:rPr>
          <w:rFonts w:ascii="Times New Roman" w:hAnsi="Times New Roman" w:cs="Times New Roman"/>
          <w:sz w:val="24"/>
          <w:szCs w:val="24"/>
          <w:lang w:val="en-GB"/>
        </w:rPr>
        <w:t xml:space="preserve">von </w:t>
      </w:r>
      <w:proofErr w:type="spellStart"/>
      <w:r w:rsidRPr="000E6415">
        <w:rPr>
          <w:rFonts w:ascii="Times New Roman" w:hAnsi="Times New Roman" w:cs="Times New Roman"/>
          <w:sz w:val="24"/>
          <w:szCs w:val="24"/>
          <w:lang w:val="en-GB"/>
        </w:rPr>
        <w:t>Bogdandy</w:t>
      </w:r>
      <w:proofErr w:type="spellEnd"/>
      <w:r w:rsidRPr="00BC681C">
        <w:rPr>
          <w:rFonts w:ascii="Times New Roman" w:hAnsi="Times New Roman" w:cs="Times New Roman"/>
          <w:sz w:val="24"/>
          <w:szCs w:val="24"/>
          <w:lang w:val="en-GB"/>
        </w:rPr>
        <w:t xml:space="preserve"> and</w:t>
      </w:r>
      <w:r w:rsidRPr="00107322">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 xml:space="preserve">Jürgen </w:t>
      </w:r>
      <w:proofErr w:type="spellStart"/>
      <w:r w:rsidRPr="000E6415">
        <w:rPr>
          <w:rFonts w:ascii="Times New Roman" w:hAnsi="Times New Roman" w:cs="Times New Roman"/>
          <w:sz w:val="24"/>
          <w:szCs w:val="24"/>
          <w:lang w:val="en-GB"/>
        </w:rPr>
        <w:t>Bast</w:t>
      </w:r>
      <w:proofErr w:type="spellEnd"/>
      <w:r>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 xml:space="preserve">(Eds.), </w:t>
      </w:r>
      <w:r w:rsidRPr="00BC681C">
        <w:rPr>
          <w:rFonts w:ascii="Times New Roman" w:hAnsi="Times New Roman" w:cs="Times New Roman"/>
          <w:i/>
          <w:sz w:val="24"/>
          <w:szCs w:val="24"/>
          <w:lang w:val="en-GB"/>
        </w:rPr>
        <w:t>Principles of European Constitutional Law</w:t>
      </w:r>
      <w:r w:rsidRPr="00BC681C">
        <w:rPr>
          <w:rFonts w:ascii="Times New Roman" w:hAnsi="Times New Roman" w:cs="Times New Roman"/>
          <w:sz w:val="24"/>
          <w:szCs w:val="24"/>
          <w:lang w:val="en-GB"/>
        </w:rPr>
        <w:t xml:space="preserve">, </w:t>
      </w:r>
      <w:r>
        <w:rPr>
          <w:rFonts w:ascii="Times New Roman" w:hAnsi="Times New Roman" w:cs="Times New Roman"/>
          <w:sz w:val="24"/>
          <w:szCs w:val="24"/>
          <w:lang w:val="en-GB"/>
        </w:rPr>
        <w:t>2</w:t>
      </w:r>
      <w:r w:rsidRPr="00107322">
        <w:rPr>
          <w:rFonts w:ascii="Times New Roman" w:hAnsi="Times New Roman" w:cs="Times New Roman"/>
          <w:sz w:val="24"/>
          <w:szCs w:val="24"/>
          <w:vertAlign w:val="superscript"/>
          <w:lang w:val="en-GB"/>
        </w:rPr>
        <w:t>nd</w:t>
      </w:r>
      <w:r w:rsidRPr="00BC681C">
        <w:rPr>
          <w:rFonts w:ascii="Times New Roman" w:hAnsi="Times New Roman" w:cs="Times New Roman"/>
          <w:sz w:val="24"/>
          <w:szCs w:val="24"/>
          <w:lang w:val="en-GB"/>
        </w:rPr>
        <w:t xml:space="preserve"> Revised Edition, Hart Publishing</w:t>
      </w:r>
    </w:p>
    <w:p w14:paraId="694D8F99" w14:textId="67E40180" w:rsidR="00235F05" w:rsidRDefault="00235F05" w:rsidP="00BD2DDB">
      <w:pPr>
        <w:jc w:val="both"/>
        <w:rPr>
          <w:rFonts w:ascii="Times New Roman" w:hAnsi="Times New Roman" w:cs="Times New Roman"/>
          <w:bCs/>
          <w:sz w:val="24"/>
          <w:szCs w:val="24"/>
          <w:lang w:val="en-US"/>
        </w:rPr>
      </w:pPr>
      <w:r w:rsidRPr="00253FC6">
        <w:rPr>
          <w:rFonts w:ascii="Times New Roman" w:hAnsi="Times New Roman" w:cs="Times New Roman"/>
          <w:bCs/>
          <w:iCs/>
          <w:sz w:val="24"/>
          <w:szCs w:val="24"/>
          <w:lang w:val="en-US"/>
        </w:rPr>
        <w:t>Pedro</w:t>
      </w:r>
      <w:r w:rsidRPr="00253FC6">
        <w:rPr>
          <w:rFonts w:ascii="Times New Roman" w:hAnsi="Times New Roman" w:cs="Times New Roman"/>
          <w:bCs/>
          <w:iCs/>
          <w:smallCaps/>
          <w:sz w:val="24"/>
          <w:szCs w:val="24"/>
          <w:lang w:val="en-US"/>
        </w:rPr>
        <w:t xml:space="preserve"> </w:t>
      </w:r>
      <w:r w:rsidRPr="00235F05">
        <w:rPr>
          <w:rFonts w:ascii="Times New Roman" w:hAnsi="Times New Roman" w:cs="Times New Roman"/>
          <w:bCs/>
          <w:iCs/>
          <w:sz w:val="24"/>
          <w:szCs w:val="24"/>
          <w:lang w:val="en-US"/>
        </w:rPr>
        <w:t>Caeiro</w:t>
      </w:r>
      <w:r>
        <w:rPr>
          <w:rFonts w:ascii="Times New Roman" w:hAnsi="Times New Roman" w:cs="Times New Roman"/>
          <w:bCs/>
          <w:iCs/>
          <w:sz w:val="24"/>
          <w:szCs w:val="24"/>
          <w:lang w:val="en-US"/>
        </w:rPr>
        <w:t xml:space="preserve"> (2022</w:t>
      </w:r>
      <w:r w:rsidR="00573C3B">
        <w:rPr>
          <w:rFonts w:ascii="Times New Roman" w:hAnsi="Times New Roman" w:cs="Times New Roman"/>
          <w:bCs/>
          <w:iCs/>
          <w:sz w:val="24"/>
          <w:szCs w:val="24"/>
          <w:lang w:val="en-US"/>
        </w:rPr>
        <w:t>a</w:t>
      </w:r>
      <w:r>
        <w:rPr>
          <w:rFonts w:ascii="Times New Roman" w:hAnsi="Times New Roman" w:cs="Times New Roman"/>
          <w:bCs/>
          <w:iCs/>
          <w:sz w:val="24"/>
          <w:szCs w:val="24"/>
          <w:lang w:val="en-US"/>
        </w:rPr>
        <w:t>),</w:t>
      </w:r>
      <w:r w:rsidRPr="00253FC6">
        <w:rPr>
          <w:rFonts w:ascii="Times New Roman" w:hAnsi="Times New Roman" w:cs="Times New Roman"/>
          <w:bCs/>
          <w:iCs/>
          <w:sz w:val="24"/>
          <w:szCs w:val="24"/>
          <w:lang w:val="en-US"/>
        </w:rPr>
        <w:t xml:space="preserve"> “</w:t>
      </w:r>
      <w:r w:rsidRPr="00253FC6">
        <w:rPr>
          <w:rFonts w:ascii="Times New Roman" w:hAnsi="Times New Roman" w:cs="Times New Roman"/>
          <w:bCs/>
          <w:sz w:val="24"/>
          <w:szCs w:val="24"/>
          <w:lang w:val="en-US"/>
        </w:rPr>
        <w:t xml:space="preserve">Constitution and development of the European Union's penal jurisdiction:  Responsibility, self-reference and attribution”, </w:t>
      </w:r>
      <w:r w:rsidRPr="00253FC6">
        <w:rPr>
          <w:rFonts w:ascii="Times New Roman" w:hAnsi="Times New Roman" w:cs="Times New Roman"/>
          <w:bCs/>
          <w:i/>
          <w:iCs/>
          <w:sz w:val="24"/>
          <w:szCs w:val="24"/>
          <w:lang w:val="en-US"/>
        </w:rPr>
        <w:t xml:space="preserve">in </w:t>
      </w:r>
      <w:r w:rsidRPr="00253FC6">
        <w:rPr>
          <w:rFonts w:ascii="Times New Roman" w:hAnsi="Times New Roman" w:cs="Times New Roman"/>
          <w:bCs/>
          <w:sz w:val="24"/>
          <w:szCs w:val="24"/>
          <w:lang w:val="en-US"/>
        </w:rPr>
        <w:t xml:space="preserve">European Law Journal, 2022 </w:t>
      </w:r>
      <w:r w:rsidRPr="00253FC6">
        <w:rPr>
          <w:rFonts w:ascii="Times New Roman" w:hAnsi="Times New Roman" w:cs="Times New Roman"/>
          <w:bCs/>
          <w:sz w:val="24"/>
          <w:szCs w:val="24"/>
          <w:lang w:val="en-GB"/>
        </w:rPr>
        <w:t>(</w:t>
      </w:r>
      <w:r w:rsidRPr="00253FC6">
        <w:rPr>
          <w:rFonts w:ascii="Times New Roman" w:hAnsi="Times New Roman" w:cs="Times New Roman"/>
          <w:bCs/>
          <w:sz w:val="24"/>
          <w:szCs w:val="24"/>
          <w:lang w:val="en-US"/>
        </w:rPr>
        <w:t>DOI: 10.1111/eulj.12443)</w:t>
      </w:r>
    </w:p>
    <w:p w14:paraId="543C2BC6" w14:textId="0907D05B" w:rsidR="00CD2798" w:rsidRDefault="00CD2798" w:rsidP="00CD2798">
      <w:pPr>
        <w:rPr>
          <w:rFonts w:ascii="Times New Roman" w:hAnsi="Times New Roman" w:cs="Times New Roman"/>
          <w:bCs/>
          <w:sz w:val="24"/>
          <w:szCs w:val="24"/>
          <w:lang w:val="en-GB"/>
        </w:rPr>
      </w:pPr>
      <w:r w:rsidRPr="00BC681C">
        <w:rPr>
          <w:rFonts w:ascii="Times New Roman" w:hAnsi="Times New Roman" w:cs="Times New Roman"/>
          <w:bCs/>
          <w:sz w:val="24"/>
          <w:szCs w:val="24"/>
          <w:lang w:val="en-GB"/>
        </w:rPr>
        <w:t>Pedro</w:t>
      </w:r>
      <w:r w:rsidRPr="00BC681C">
        <w:rPr>
          <w:rFonts w:ascii="Times New Roman" w:hAnsi="Times New Roman" w:cs="Times New Roman"/>
          <w:bCs/>
          <w:smallCaps/>
          <w:sz w:val="24"/>
          <w:szCs w:val="24"/>
          <w:lang w:val="en-GB"/>
        </w:rPr>
        <w:t xml:space="preserve"> </w:t>
      </w:r>
      <w:r w:rsidRPr="00CD2798">
        <w:rPr>
          <w:rFonts w:ascii="Times New Roman" w:hAnsi="Times New Roman" w:cs="Times New Roman"/>
          <w:bCs/>
          <w:sz w:val="24"/>
          <w:szCs w:val="24"/>
          <w:lang w:val="en-GB"/>
        </w:rPr>
        <w:t>Caeiro</w:t>
      </w:r>
      <w:r w:rsidR="00673321">
        <w:rPr>
          <w:rFonts w:ascii="Times New Roman" w:hAnsi="Times New Roman" w:cs="Times New Roman"/>
          <w:bCs/>
          <w:sz w:val="24"/>
          <w:szCs w:val="24"/>
          <w:lang w:val="en-GB"/>
        </w:rPr>
        <w:t xml:space="preserve"> (2020)</w:t>
      </w:r>
      <w:r w:rsidRPr="00BC681C">
        <w:rPr>
          <w:rFonts w:ascii="Times New Roman" w:hAnsi="Times New Roman" w:cs="Times New Roman"/>
          <w:bCs/>
          <w:sz w:val="24"/>
          <w:szCs w:val="24"/>
          <w:lang w:val="en-GB"/>
        </w:rPr>
        <w:t xml:space="preserve">, </w:t>
      </w:r>
      <w:proofErr w:type="gramStart"/>
      <w:r w:rsidRPr="00BC681C">
        <w:rPr>
          <w:rFonts w:ascii="Times New Roman" w:hAnsi="Times New Roman" w:cs="Times New Roman"/>
          <w:bCs/>
          <w:sz w:val="24"/>
          <w:szCs w:val="24"/>
          <w:lang w:val="en-GB"/>
        </w:rPr>
        <w:t>“ ‘Scenes</w:t>
      </w:r>
      <w:proofErr w:type="gramEnd"/>
      <w:r w:rsidRPr="00BC681C">
        <w:rPr>
          <w:rFonts w:ascii="Times New Roman" w:hAnsi="Times New Roman" w:cs="Times New Roman"/>
          <w:bCs/>
          <w:sz w:val="24"/>
          <w:szCs w:val="24"/>
          <w:lang w:val="en-GB"/>
        </w:rPr>
        <w:t xml:space="preserve"> From a Marriage’: Trust, Distrust and (Re)Assurances in the Execution of a European Arrest Warrant”, </w:t>
      </w:r>
      <w:r w:rsidRPr="00BC681C">
        <w:rPr>
          <w:rFonts w:ascii="Times New Roman" w:hAnsi="Times New Roman" w:cs="Times New Roman"/>
          <w:bCs/>
          <w:i/>
          <w:sz w:val="24"/>
          <w:szCs w:val="24"/>
          <w:lang w:val="en-GB"/>
        </w:rPr>
        <w:t>in</w:t>
      </w:r>
      <w:r w:rsidRPr="00BC681C">
        <w:rPr>
          <w:rFonts w:ascii="Times New Roman" w:hAnsi="Times New Roman" w:cs="Times New Roman"/>
          <w:bCs/>
          <w:sz w:val="24"/>
          <w:szCs w:val="24"/>
          <w:lang w:val="en-GB"/>
        </w:rPr>
        <w:t xml:space="preserve"> Sergio</w:t>
      </w:r>
      <w:r w:rsidRPr="00BC681C">
        <w:rPr>
          <w:rFonts w:ascii="Times New Roman" w:hAnsi="Times New Roman" w:cs="Times New Roman"/>
          <w:bCs/>
          <w:smallCaps/>
          <w:sz w:val="24"/>
          <w:szCs w:val="24"/>
          <w:lang w:val="en-GB"/>
        </w:rPr>
        <w:t xml:space="preserve"> </w:t>
      </w:r>
      <w:r w:rsidRPr="00CD2798">
        <w:rPr>
          <w:rFonts w:ascii="Times New Roman" w:hAnsi="Times New Roman" w:cs="Times New Roman"/>
          <w:bCs/>
          <w:sz w:val="24"/>
          <w:szCs w:val="24"/>
          <w:lang w:val="en-GB"/>
        </w:rPr>
        <w:t>Carrera</w:t>
      </w:r>
      <w:r w:rsidRPr="00BC681C">
        <w:rPr>
          <w:rFonts w:ascii="Times New Roman" w:hAnsi="Times New Roman" w:cs="Times New Roman"/>
          <w:bCs/>
          <w:sz w:val="24"/>
          <w:szCs w:val="24"/>
          <w:lang w:val="en-GB"/>
        </w:rPr>
        <w:t xml:space="preserve">, Deirdre </w:t>
      </w:r>
      <w:r w:rsidRPr="00CD2798">
        <w:rPr>
          <w:rFonts w:ascii="Times New Roman" w:hAnsi="Times New Roman" w:cs="Times New Roman"/>
          <w:bCs/>
          <w:sz w:val="24"/>
          <w:szCs w:val="24"/>
          <w:lang w:val="en-GB"/>
        </w:rPr>
        <w:t>Curtin</w:t>
      </w:r>
      <w:r>
        <w:rPr>
          <w:rFonts w:ascii="Times New Roman" w:hAnsi="Times New Roman" w:cs="Times New Roman"/>
          <w:bCs/>
          <w:sz w:val="24"/>
          <w:szCs w:val="24"/>
          <w:lang w:val="en-GB"/>
        </w:rPr>
        <w:t xml:space="preserve"> </w:t>
      </w:r>
      <w:r w:rsidRPr="00BC681C">
        <w:rPr>
          <w:rFonts w:ascii="Times New Roman" w:hAnsi="Times New Roman" w:cs="Times New Roman"/>
          <w:bCs/>
          <w:sz w:val="24"/>
          <w:szCs w:val="24"/>
          <w:lang w:val="en-GB"/>
        </w:rPr>
        <w:t>and Andrew</w:t>
      </w:r>
      <w:r w:rsidRPr="00BC681C">
        <w:rPr>
          <w:rFonts w:ascii="Times New Roman" w:hAnsi="Times New Roman" w:cs="Times New Roman"/>
          <w:bCs/>
          <w:smallCaps/>
          <w:sz w:val="24"/>
          <w:szCs w:val="24"/>
          <w:lang w:val="en-GB"/>
        </w:rPr>
        <w:t xml:space="preserve"> </w:t>
      </w:r>
      <w:r w:rsidRPr="00CD2798">
        <w:rPr>
          <w:rFonts w:ascii="Times New Roman" w:hAnsi="Times New Roman" w:cs="Times New Roman"/>
          <w:bCs/>
          <w:sz w:val="24"/>
          <w:szCs w:val="24"/>
          <w:lang w:val="en-GB"/>
        </w:rPr>
        <w:t>Geddes</w:t>
      </w:r>
      <w:r w:rsidRPr="00BC681C">
        <w:rPr>
          <w:rFonts w:ascii="Times New Roman" w:hAnsi="Times New Roman" w:cs="Times New Roman"/>
          <w:bCs/>
          <w:sz w:val="24"/>
          <w:szCs w:val="24"/>
          <w:lang w:val="en-GB"/>
        </w:rPr>
        <w:t xml:space="preserve">, </w:t>
      </w:r>
      <w:r w:rsidRPr="00BC681C">
        <w:rPr>
          <w:rFonts w:ascii="Times New Roman" w:hAnsi="Times New Roman" w:cs="Times New Roman"/>
          <w:bCs/>
          <w:i/>
          <w:sz w:val="24"/>
          <w:szCs w:val="24"/>
          <w:lang w:val="en-GB"/>
        </w:rPr>
        <w:t>20 Years Anniversary of the Tampere Programme. Europeanisation Dynamics of the EU Area of Freedom, Security and Justice</w:t>
      </w:r>
      <w:r w:rsidRPr="00BC681C">
        <w:rPr>
          <w:rFonts w:ascii="Times New Roman" w:hAnsi="Times New Roman" w:cs="Times New Roman"/>
          <w:bCs/>
          <w:sz w:val="24"/>
          <w:szCs w:val="24"/>
          <w:lang w:val="en-GB"/>
        </w:rPr>
        <w:t>, European University Institute</w:t>
      </w:r>
    </w:p>
    <w:p w14:paraId="5A73E780" w14:textId="3198E52E" w:rsidR="00D45782" w:rsidRDefault="00340FD9" w:rsidP="00CD2798">
      <w:pPr>
        <w:rPr>
          <w:rFonts w:ascii="Times New Roman" w:hAnsi="Times New Roman" w:cs="Times New Roman"/>
          <w:sz w:val="24"/>
          <w:szCs w:val="24"/>
          <w:lang w:val="en-GB"/>
        </w:rPr>
      </w:pPr>
      <w:r w:rsidRPr="00BC681C">
        <w:rPr>
          <w:rFonts w:ascii="Times New Roman" w:hAnsi="Times New Roman" w:cs="Times New Roman"/>
          <w:sz w:val="24"/>
          <w:szCs w:val="24"/>
          <w:lang w:val="en-GB"/>
        </w:rPr>
        <w:t>Pedro</w:t>
      </w:r>
      <w:r w:rsidRPr="00BC681C">
        <w:rPr>
          <w:rFonts w:ascii="Times New Roman" w:hAnsi="Times New Roman" w:cs="Times New Roman"/>
          <w:smallCaps/>
          <w:sz w:val="24"/>
          <w:szCs w:val="24"/>
          <w:lang w:val="en-GB"/>
        </w:rPr>
        <w:t xml:space="preserve"> </w:t>
      </w:r>
      <w:r w:rsidRPr="00340FD9">
        <w:rPr>
          <w:rFonts w:ascii="Times New Roman" w:hAnsi="Times New Roman" w:cs="Times New Roman"/>
          <w:sz w:val="24"/>
          <w:szCs w:val="24"/>
          <w:lang w:val="en-GB"/>
        </w:rPr>
        <w:t>Caeiro</w:t>
      </w:r>
      <w:r w:rsidR="00F05CDD">
        <w:rPr>
          <w:rFonts w:ascii="Times New Roman" w:hAnsi="Times New Roman" w:cs="Times New Roman"/>
          <w:sz w:val="24"/>
          <w:szCs w:val="24"/>
          <w:lang w:val="en-GB"/>
        </w:rPr>
        <w:t xml:space="preserve"> (2019)</w:t>
      </w:r>
      <w:r w:rsidRPr="00BC681C">
        <w:rPr>
          <w:rFonts w:ascii="Times New Roman" w:hAnsi="Times New Roman" w:cs="Times New Roman"/>
          <w:sz w:val="24"/>
          <w:szCs w:val="24"/>
          <w:lang w:val="en-GB"/>
        </w:rPr>
        <w:t>, "The contribution of </w:t>
      </w:r>
      <w:proofErr w:type="spellStart"/>
      <w:r w:rsidRPr="00BC681C">
        <w:rPr>
          <w:rFonts w:ascii="Times New Roman" w:hAnsi="Times New Roman" w:cs="Times New Roman"/>
          <w:i/>
          <w:iCs/>
          <w:sz w:val="24"/>
          <w:szCs w:val="24"/>
          <w:lang w:val="en-GB"/>
        </w:rPr>
        <w:t>Advocaten</w:t>
      </w:r>
      <w:proofErr w:type="spellEnd"/>
      <w:r w:rsidRPr="00BC681C">
        <w:rPr>
          <w:rFonts w:ascii="Times New Roman" w:hAnsi="Times New Roman" w:cs="Times New Roman"/>
          <w:i/>
          <w:iCs/>
          <w:sz w:val="24"/>
          <w:szCs w:val="24"/>
          <w:lang w:val="en-GB"/>
        </w:rPr>
        <w:t xml:space="preserve"> </w:t>
      </w:r>
      <w:proofErr w:type="spellStart"/>
      <w:r w:rsidRPr="00BC681C">
        <w:rPr>
          <w:rFonts w:ascii="Times New Roman" w:hAnsi="Times New Roman" w:cs="Times New Roman"/>
          <w:i/>
          <w:iCs/>
          <w:sz w:val="24"/>
          <w:szCs w:val="24"/>
          <w:lang w:val="en-GB"/>
        </w:rPr>
        <w:t>voor</w:t>
      </w:r>
      <w:proofErr w:type="spellEnd"/>
      <w:r w:rsidRPr="00BC681C">
        <w:rPr>
          <w:rFonts w:ascii="Times New Roman" w:hAnsi="Times New Roman" w:cs="Times New Roman"/>
          <w:i/>
          <w:iCs/>
          <w:sz w:val="24"/>
          <w:szCs w:val="24"/>
          <w:lang w:val="en-GB"/>
        </w:rPr>
        <w:t xml:space="preserve"> de </w:t>
      </w:r>
      <w:proofErr w:type="spellStart"/>
      <w:r w:rsidRPr="00BC681C">
        <w:rPr>
          <w:rFonts w:ascii="Times New Roman" w:hAnsi="Times New Roman" w:cs="Times New Roman"/>
          <w:i/>
          <w:iCs/>
          <w:sz w:val="24"/>
          <w:szCs w:val="24"/>
          <w:lang w:val="en-GB"/>
        </w:rPr>
        <w:t>Wereld</w:t>
      </w:r>
      <w:proofErr w:type="spellEnd"/>
      <w:r w:rsidRPr="00BC681C">
        <w:rPr>
          <w:rFonts w:ascii="Times New Roman" w:hAnsi="Times New Roman" w:cs="Times New Roman"/>
          <w:sz w:val="24"/>
          <w:szCs w:val="24"/>
          <w:lang w:val="en-GB"/>
        </w:rPr>
        <w:t xml:space="preserve"> for the protection of human rights in the context of supra-state law and for the doctrine of double criminality", in </w:t>
      </w:r>
      <w:proofErr w:type="spellStart"/>
      <w:r w:rsidRPr="00BC681C">
        <w:rPr>
          <w:rFonts w:ascii="Times New Roman" w:hAnsi="Times New Roman" w:cs="Times New Roman"/>
          <w:sz w:val="24"/>
          <w:szCs w:val="24"/>
          <w:lang w:val="en-GB"/>
        </w:rPr>
        <w:t>Valsamis</w:t>
      </w:r>
      <w:proofErr w:type="spellEnd"/>
      <w:r w:rsidRPr="00BC681C">
        <w:rPr>
          <w:rFonts w:ascii="Times New Roman" w:hAnsi="Times New Roman" w:cs="Times New Roman"/>
          <w:smallCaps/>
          <w:sz w:val="24"/>
          <w:szCs w:val="24"/>
          <w:lang w:val="en-GB"/>
        </w:rPr>
        <w:t xml:space="preserve"> </w:t>
      </w:r>
      <w:proofErr w:type="spellStart"/>
      <w:r w:rsidRPr="00340FD9">
        <w:rPr>
          <w:rFonts w:ascii="Times New Roman" w:hAnsi="Times New Roman" w:cs="Times New Roman"/>
          <w:sz w:val="24"/>
          <w:szCs w:val="24"/>
          <w:lang w:val="en-GB"/>
        </w:rPr>
        <w:t>Mitsilegas</w:t>
      </w:r>
      <w:proofErr w:type="spellEnd"/>
      <w:r>
        <w:rPr>
          <w:rFonts w:ascii="Times New Roman" w:hAnsi="Times New Roman" w:cs="Times New Roman"/>
          <w:sz w:val="24"/>
          <w:szCs w:val="24"/>
          <w:lang w:val="en-GB"/>
        </w:rPr>
        <w:t>,</w:t>
      </w:r>
      <w:r w:rsidRPr="00BC681C">
        <w:rPr>
          <w:rFonts w:ascii="Times New Roman" w:hAnsi="Times New Roman" w:cs="Times New Roman"/>
          <w:sz w:val="24"/>
          <w:szCs w:val="24"/>
          <w:lang w:val="en-GB"/>
        </w:rPr>
        <w:t xml:space="preserve"> Alberto </w:t>
      </w:r>
      <w:r w:rsidRPr="00340FD9">
        <w:rPr>
          <w:rFonts w:ascii="Times New Roman" w:hAnsi="Times New Roman" w:cs="Times New Roman"/>
          <w:sz w:val="24"/>
          <w:szCs w:val="24"/>
          <w:lang w:val="en-GB"/>
        </w:rPr>
        <w:t>di Martino</w:t>
      </w:r>
      <w:r>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and</w:t>
      </w:r>
      <w:r>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 xml:space="preserve">Leandro </w:t>
      </w:r>
      <w:r w:rsidRPr="00340FD9">
        <w:rPr>
          <w:rFonts w:ascii="Times New Roman" w:hAnsi="Times New Roman" w:cs="Times New Roman"/>
          <w:sz w:val="24"/>
          <w:szCs w:val="24"/>
          <w:lang w:val="en-GB"/>
        </w:rPr>
        <w:t>Mancano</w:t>
      </w:r>
      <w:r>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(Eds.), </w:t>
      </w:r>
      <w:r w:rsidRPr="00BC681C">
        <w:rPr>
          <w:rFonts w:ascii="Times New Roman" w:hAnsi="Times New Roman" w:cs="Times New Roman"/>
          <w:i/>
          <w:iCs/>
          <w:sz w:val="24"/>
          <w:szCs w:val="24"/>
          <w:lang w:val="en-GB"/>
        </w:rPr>
        <w:t>The Court of Justice and European Criminal Law: Leading Cases in a Contextual Analysis</w:t>
      </w:r>
      <w:r w:rsidRPr="00BC681C">
        <w:rPr>
          <w:rFonts w:ascii="Times New Roman" w:hAnsi="Times New Roman" w:cs="Times New Roman"/>
          <w:sz w:val="24"/>
          <w:szCs w:val="24"/>
          <w:lang w:val="en-GB"/>
        </w:rPr>
        <w:t>, Bloomsbury</w:t>
      </w:r>
    </w:p>
    <w:p w14:paraId="09770A3D" w14:textId="314B20AF" w:rsidR="00D45782" w:rsidRPr="00D45782" w:rsidRDefault="00D45782" w:rsidP="00CD2798">
      <w:pPr>
        <w:rPr>
          <w:rFonts w:ascii="Times New Roman" w:hAnsi="Times New Roman" w:cs="Times New Roman"/>
          <w:sz w:val="24"/>
          <w:szCs w:val="24"/>
          <w:lang w:val="en-US"/>
        </w:rPr>
      </w:pPr>
      <w:r w:rsidRPr="00D45782">
        <w:rPr>
          <w:rFonts w:ascii="Times New Roman" w:hAnsi="Times New Roman" w:cs="Times New Roman"/>
          <w:sz w:val="24"/>
          <w:szCs w:val="24"/>
          <w:lang w:val="en-GB"/>
        </w:rPr>
        <w:t>Pedro Caeiro</w:t>
      </w:r>
      <w:r>
        <w:rPr>
          <w:rFonts w:ascii="Times New Roman" w:hAnsi="Times New Roman" w:cs="Times New Roman"/>
          <w:sz w:val="24"/>
          <w:szCs w:val="24"/>
          <w:lang w:val="en-GB"/>
        </w:rPr>
        <w:t xml:space="preserve"> (2022b)</w:t>
      </w:r>
      <w:r w:rsidRPr="00D45782">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D45782">
        <w:rPr>
          <w:rFonts w:ascii="Times New Roman" w:hAnsi="Times New Roman" w:cs="Times New Roman"/>
          <w:sz w:val="24"/>
          <w:szCs w:val="24"/>
          <w:lang w:val="en-GB"/>
        </w:rPr>
        <w:t xml:space="preserve">The ‘licence to distrust’ and the protection of individual rights in the execution of a European Arrest Warrant: A comment”, </w:t>
      </w:r>
      <w:r w:rsidRPr="00D45782">
        <w:rPr>
          <w:rFonts w:ascii="Times New Roman" w:hAnsi="Times New Roman" w:cs="Times New Roman"/>
          <w:i/>
          <w:iCs/>
          <w:sz w:val="24"/>
          <w:szCs w:val="24"/>
          <w:lang w:val="en-GB"/>
        </w:rPr>
        <w:t>European Law Journal</w:t>
      </w:r>
      <w:r w:rsidRPr="00D45782">
        <w:rPr>
          <w:rFonts w:ascii="Times New Roman" w:hAnsi="Times New Roman" w:cs="Times New Roman"/>
          <w:sz w:val="24"/>
          <w:szCs w:val="24"/>
          <w:lang w:val="en-GB"/>
        </w:rPr>
        <w:t xml:space="preserve">, </w:t>
      </w:r>
      <w:r>
        <w:rPr>
          <w:rFonts w:ascii="Times New Roman" w:hAnsi="Times New Roman" w:cs="Times New Roman"/>
          <w:sz w:val="24"/>
          <w:szCs w:val="24"/>
          <w:lang w:val="en-GB"/>
        </w:rPr>
        <w:t>nº</w:t>
      </w:r>
      <w:r w:rsidRPr="00D45782">
        <w:rPr>
          <w:rFonts w:ascii="Times New Roman" w:hAnsi="Times New Roman" w:cs="Times New Roman"/>
          <w:sz w:val="24"/>
          <w:szCs w:val="24"/>
          <w:lang w:val="en-GB"/>
        </w:rPr>
        <w:t xml:space="preserve"> 28</w:t>
      </w:r>
    </w:p>
    <w:p w14:paraId="0592E3B6" w14:textId="0CA0CC87" w:rsidR="003D6284" w:rsidRDefault="003D6284" w:rsidP="00BD2DDB">
      <w:pPr>
        <w:jc w:val="both"/>
        <w:rPr>
          <w:rFonts w:ascii="Times New Roman" w:hAnsi="Times New Roman" w:cs="Times New Roman"/>
          <w:sz w:val="24"/>
          <w:szCs w:val="24"/>
          <w:lang w:val="en-GB"/>
        </w:rPr>
      </w:pPr>
      <w:r w:rsidRPr="00BC681C">
        <w:rPr>
          <w:rFonts w:ascii="Times New Roman" w:hAnsi="Times New Roman" w:cs="Times New Roman"/>
          <w:sz w:val="24"/>
          <w:szCs w:val="24"/>
          <w:lang w:val="en-GB"/>
        </w:rPr>
        <w:t>Peter</w:t>
      </w:r>
      <w:r w:rsidRPr="00BC681C">
        <w:rPr>
          <w:rFonts w:ascii="Times New Roman" w:hAnsi="Times New Roman" w:cs="Times New Roman"/>
          <w:smallCaps/>
          <w:sz w:val="24"/>
          <w:szCs w:val="24"/>
          <w:lang w:val="en-GB"/>
        </w:rPr>
        <w:t xml:space="preserve"> </w:t>
      </w:r>
      <w:proofErr w:type="spellStart"/>
      <w:r w:rsidRPr="003D6284">
        <w:rPr>
          <w:rFonts w:ascii="Times New Roman" w:hAnsi="Times New Roman" w:cs="Times New Roman"/>
          <w:sz w:val="24"/>
          <w:szCs w:val="24"/>
          <w:lang w:val="en-GB"/>
        </w:rPr>
        <w:t>Lerche</w:t>
      </w:r>
      <w:proofErr w:type="spellEnd"/>
      <w:r w:rsidR="00673321">
        <w:rPr>
          <w:rFonts w:ascii="Times New Roman" w:hAnsi="Times New Roman" w:cs="Times New Roman"/>
          <w:sz w:val="24"/>
          <w:szCs w:val="24"/>
          <w:lang w:val="en-GB"/>
        </w:rPr>
        <w:t xml:space="preserve"> (1993)</w:t>
      </w:r>
      <w:r w:rsidRPr="00BC681C">
        <w:rPr>
          <w:rFonts w:ascii="Times New Roman" w:hAnsi="Times New Roman" w:cs="Times New Roman"/>
          <w:sz w:val="24"/>
          <w:szCs w:val="24"/>
          <w:lang w:val="en-GB"/>
        </w:rPr>
        <w:t>, “</w:t>
      </w:r>
      <w:proofErr w:type="spellStart"/>
      <w:r w:rsidRPr="00BC681C">
        <w:rPr>
          <w:rFonts w:ascii="Times New Roman" w:hAnsi="Times New Roman" w:cs="Times New Roman"/>
          <w:sz w:val="24"/>
          <w:szCs w:val="24"/>
          <w:lang w:val="en-GB"/>
        </w:rPr>
        <w:t>Europäische</w:t>
      </w:r>
      <w:proofErr w:type="spellEnd"/>
      <w:r w:rsidRPr="00BC681C">
        <w:rPr>
          <w:rFonts w:ascii="Times New Roman" w:hAnsi="Times New Roman" w:cs="Times New Roman"/>
          <w:sz w:val="24"/>
          <w:szCs w:val="24"/>
          <w:lang w:val="en-GB"/>
        </w:rPr>
        <w:t xml:space="preserve"> </w:t>
      </w:r>
      <w:proofErr w:type="spellStart"/>
      <w:r w:rsidRPr="00BC681C">
        <w:rPr>
          <w:rFonts w:ascii="Times New Roman" w:hAnsi="Times New Roman" w:cs="Times New Roman"/>
          <w:sz w:val="24"/>
          <w:szCs w:val="24"/>
          <w:lang w:val="en-GB"/>
        </w:rPr>
        <w:t>Staatlichkeit</w:t>
      </w:r>
      <w:proofErr w:type="spellEnd"/>
      <w:r w:rsidRPr="00BC681C">
        <w:rPr>
          <w:rFonts w:ascii="Times New Roman" w:hAnsi="Times New Roman" w:cs="Times New Roman"/>
          <w:sz w:val="24"/>
          <w:szCs w:val="24"/>
          <w:lang w:val="en-GB"/>
        </w:rPr>
        <w:t xml:space="preserve"> und die </w:t>
      </w:r>
      <w:proofErr w:type="spellStart"/>
      <w:r w:rsidRPr="00BC681C">
        <w:rPr>
          <w:rFonts w:ascii="Times New Roman" w:hAnsi="Times New Roman" w:cs="Times New Roman"/>
          <w:sz w:val="24"/>
          <w:szCs w:val="24"/>
          <w:lang w:val="en-GB"/>
        </w:rPr>
        <w:t>Identität</w:t>
      </w:r>
      <w:proofErr w:type="spellEnd"/>
      <w:r w:rsidRPr="00BC681C">
        <w:rPr>
          <w:rFonts w:ascii="Times New Roman" w:hAnsi="Times New Roman" w:cs="Times New Roman"/>
          <w:sz w:val="24"/>
          <w:szCs w:val="24"/>
          <w:lang w:val="en-GB"/>
        </w:rPr>
        <w:t xml:space="preserve"> des </w:t>
      </w:r>
      <w:proofErr w:type="spellStart"/>
      <w:r w:rsidRPr="00BC681C">
        <w:rPr>
          <w:rFonts w:ascii="Times New Roman" w:hAnsi="Times New Roman" w:cs="Times New Roman"/>
          <w:sz w:val="24"/>
          <w:szCs w:val="24"/>
          <w:lang w:val="en-GB"/>
        </w:rPr>
        <w:t>Grundgesetzes</w:t>
      </w:r>
      <w:proofErr w:type="spellEnd"/>
      <w:r w:rsidRPr="00BC681C">
        <w:rPr>
          <w:rFonts w:ascii="Times New Roman" w:hAnsi="Times New Roman" w:cs="Times New Roman"/>
          <w:sz w:val="24"/>
          <w:szCs w:val="24"/>
          <w:lang w:val="en-GB"/>
        </w:rPr>
        <w:t xml:space="preserve">”, </w:t>
      </w:r>
      <w:r w:rsidRPr="00BC681C">
        <w:rPr>
          <w:rFonts w:ascii="Times New Roman" w:hAnsi="Times New Roman" w:cs="Times New Roman"/>
          <w:i/>
          <w:sz w:val="24"/>
          <w:szCs w:val="24"/>
          <w:lang w:val="en-GB"/>
        </w:rPr>
        <w:t>in</w:t>
      </w:r>
      <w:r w:rsidRPr="00BC681C">
        <w:rPr>
          <w:rFonts w:ascii="Times New Roman" w:hAnsi="Times New Roman" w:cs="Times New Roman"/>
          <w:sz w:val="24"/>
          <w:szCs w:val="24"/>
          <w:lang w:val="en-GB"/>
        </w:rPr>
        <w:t xml:space="preserve"> Bernd</w:t>
      </w:r>
      <w:r w:rsidRPr="00BC681C">
        <w:rPr>
          <w:rFonts w:ascii="Times New Roman" w:hAnsi="Times New Roman" w:cs="Times New Roman"/>
          <w:smallCaps/>
          <w:sz w:val="24"/>
          <w:szCs w:val="24"/>
          <w:lang w:val="en-GB"/>
        </w:rPr>
        <w:t xml:space="preserve"> </w:t>
      </w:r>
      <w:r w:rsidRPr="003D6284">
        <w:rPr>
          <w:rFonts w:ascii="Times New Roman" w:hAnsi="Times New Roman" w:cs="Times New Roman"/>
          <w:sz w:val="24"/>
          <w:szCs w:val="24"/>
          <w:lang w:val="en-GB"/>
        </w:rPr>
        <w:t>Bender</w:t>
      </w:r>
      <w:r>
        <w:rPr>
          <w:rFonts w:ascii="Times New Roman" w:hAnsi="Times New Roman" w:cs="Times New Roman"/>
          <w:smallCaps/>
          <w:sz w:val="24"/>
          <w:szCs w:val="24"/>
          <w:lang w:val="en-GB"/>
        </w:rPr>
        <w:t>,</w:t>
      </w:r>
      <w:r w:rsidRPr="00BC681C">
        <w:rPr>
          <w:rFonts w:ascii="Times New Roman" w:hAnsi="Times New Roman" w:cs="Times New Roman"/>
          <w:sz w:val="24"/>
          <w:szCs w:val="24"/>
          <w:lang w:val="en-GB"/>
        </w:rPr>
        <w:t xml:space="preserve"> </w:t>
      </w:r>
      <w:proofErr w:type="spellStart"/>
      <w:r w:rsidRPr="00BC681C">
        <w:rPr>
          <w:rFonts w:ascii="Times New Roman" w:hAnsi="Times New Roman" w:cs="Times New Roman"/>
          <w:sz w:val="24"/>
          <w:szCs w:val="24"/>
          <w:lang w:val="en-GB"/>
        </w:rPr>
        <w:t>Rüdiger</w:t>
      </w:r>
      <w:proofErr w:type="spellEnd"/>
      <w:r w:rsidRPr="00BC681C">
        <w:rPr>
          <w:rFonts w:ascii="Times New Roman" w:hAnsi="Times New Roman" w:cs="Times New Roman"/>
          <w:smallCaps/>
          <w:sz w:val="24"/>
          <w:szCs w:val="24"/>
          <w:lang w:val="en-GB"/>
        </w:rPr>
        <w:t xml:space="preserve"> </w:t>
      </w:r>
      <w:r w:rsidRPr="003D6284">
        <w:rPr>
          <w:rFonts w:ascii="Times New Roman" w:hAnsi="Times New Roman" w:cs="Times New Roman"/>
          <w:sz w:val="24"/>
          <w:szCs w:val="24"/>
          <w:lang w:val="en-GB"/>
        </w:rPr>
        <w:t>Breuer</w:t>
      </w:r>
      <w:r>
        <w:rPr>
          <w:rFonts w:ascii="Times New Roman" w:hAnsi="Times New Roman" w:cs="Times New Roman"/>
          <w:smallCaps/>
          <w:sz w:val="24"/>
          <w:szCs w:val="24"/>
          <w:lang w:val="en-GB"/>
        </w:rPr>
        <w:t>,</w:t>
      </w:r>
      <w:r w:rsidRPr="00107322">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 xml:space="preserve">Fritz </w:t>
      </w:r>
      <w:proofErr w:type="spellStart"/>
      <w:r w:rsidRPr="003D6284">
        <w:rPr>
          <w:rFonts w:ascii="Times New Roman" w:hAnsi="Times New Roman" w:cs="Times New Roman"/>
          <w:sz w:val="24"/>
          <w:szCs w:val="24"/>
          <w:lang w:val="en-GB"/>
        </w:rPr>
        <w:t>Ossenbühl</w:t>
      </w:r>
      <w:proofErr w:type="spellEnd"/>
      <w:r w:rsidRPr="00BC681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BC681C">
        <w:rPr>
          <w:rFonts w:ascii="Times New Roman" w:hAnsi="Times New Roman" w:cs="Times New Roman"/>
          <w:sz w:val="24"/>
          <w:szCs w:val="24"/>
          <w:lang w:val="en-GB"/>
        </w:rPr>
        <w:t xml:space="preserve">Horst </w:t>
      </w:r>
      <w:proofErr w:type="spellStart"/>
      <w:r w:rsidRPr="003D6284">
        <w:rPr>
          <w:rFonts w:ascii="Times New Roman" w:hAnsi="Times New Roman" w:cs="Times New Roman"/>
          <w:sz w:val="24"/>
          <w:szCs w:val="24"/>
          <w:lang w:val="en-GB"/>
        </w:rPr>
        <w:t>Sendler</w:t>
      </w:r>
      <w:proofErr w:type="spellEnd"/>
      <w:r>
        <w:rPr>
          <w:rFonts w:ascii="Times New Roman" w:hAnsi="Times New Roman" w:cs="Times New Roman"/>
          <w:sz w:val="24"/>
          <w:szCs w:val="24"/>
          <w:lang w:val="en-GB"/>
        </w:rPr>
        <w:t xml:space="preserve"> </w:t>
      </w:r>
      <w:r w:rsidRPr="00BC681C">
        <w:rPr>
          <w:rFonts w:ascii="Times New Roman" w:hAnsi="Times New Roman" w:cs="Times New Roman"/>
          <w:sz w:val="24"/>
          <w:szCs w:val="24"/>
          <w:lang w:val="en-GB"/>
        </w:rPr>
        <w:t>(</w:t>
      </w:r>
      <w:r>
        <w:rPr>
          <w:rFonts w:ascii="Times New Roman" w:hAnsi="Times New Roman" w:cs="Times New Roman"/>
          <w:sz w:val="24"/>
          <w:szCs w:val="24"/>
          <w:lang w:val="en-GB"/>
        </w:rPr>
        <w:t>Eds</w:t>
      </w:r>
      <w:r w:rsidRPr="00BC681C">
        <w:rPr>
          <w:rFonts w:ascii="Times New Roman" w:hAnsi="Times New Roman" w:cs="Times New Roman"/>
          <w:sz w:val="24"/>
          <w:szCs w:val="24"/>
          <w:lang w:val="en-GB"/>
        </w:rPr>
        <w:t xml:space="preserve">.), </w:t>
      </w:r>
      <w:proofErr w:type="spellStart"/>
      <w:r w:rsidRPr="00BC681C">
        <w:rPr>
          <w:rFonts w:ascii="Times New Roman" w:hAnsi="Times New Roman" w:cs="Times New Roman"/>
          <w:i/>
          <w:sz w:val="24"/>
          <w:szCs w:val="24"/>
          <w:lang w:val="en-GB"/>
        </w:rPr>
        <w:t>Rechtsstaat</w:t>
      </w:r>
      <w:proofErr w:type="spellEnd"/>
      <w:r w:rsidRPr="00BC681C">
        <w:rPr>
          <w:rFonts w:ascii="Times New Roman" w:hAnsi="Times New Roman" w:cs="Times New Roman"/>
          <w:i/>
          <w:sz w:val="24"/>
          <w:szCs w:val="24"/>
          <w:lang w:val="en-GB"/>
        </w:rPr>
        <w:t xml:space="preserve"> </w:t>
      </w:r>
      <w:proofErr w:type="spellStart"/>
      <w:r w:rsidRPr="00BC681C">
        <w:rPr>
          <w:rFonts w:ascii="Times New Roman" w:hAnsi="Times New Roman" w:cs="Times New Roman"/>
          <w:i/>
          <w:sz w:val="24"/>
          <w:szCs w:val="24"/>
          <w:lang w:val="en-GB"/>
        </w:rPr>
        <w:t>zwischen</w:t>
      </w:r>
      <w:proofErr w:type="spellEnd"/>
      <w:r w:rsidRPr="00BC681C">
        <w:rPr>
          <w:rFonts w:ascii="Times New Roman" w:hAnsi="Times New Roman" w:cs="Times New Roman"/>
          <w:i/>
          <w:sz w:val="24"/>
          <w:szCs w:val="24"/>
          <w:lang w:val="en-GB"/>
        </w:rPr>
        <w:t xml:space="preserve"> </w:t>
      </w:r>
      <w:proofErr w:type="spellStart"/>
      <w:r w:rsidRPr="00BC681C">
        <w:rPr>
          <w:rFonts w:ascii="Times New Roman" w:hAnsi="Times New Roman" w:cs="Times New Roman"/>
          <w:i/>
          <w:sz w:val="24"/>
          <w:szCs w:val="24"/>
          <w:lang w:val="en-GB"/>
        </w:rPr>
        <w:t>Sozialgestaltung</w:t>
      </w:r>
      <w:proofErr w:type="spellEnd"/>
      <w:r w:rsidRPr="00BC681C">
        <w:rPr>
          <w:rFonts w:ascii="Times New Roman" w:hAnsi="Times New Roman" w:cs="Times New Roman"/>
          <w:i/>
          <w:sz w:val="24"/>
          <w:szCs w:val="24"/>
          <w:lang w:val="en-GB"/>
        </w:rPr>
        <w:t xml:space="preserve"> und </w:t>
      </w:r>
      <w:proofErr w:type="spellStart"/>
      <w:r w:rsidRPr="00BC681C">
        <w:rPr>
          <w:rFonts w:ascii="Times New Roman" w:hAnsi="Times New Roman" w:cs="Times New Roman"/>
          <w:i/>
          <w:sz w:val="24"/>
          <w:szCs w:val="24"/>
          <w:lang w:val="en-GB"/>
        </w:rPr>
        <w:t>Rechtsschutz</w:t>
      </w:r>
      <w:proofErr w:type="spellEnd"/>
      <w:r w:rsidRPr="00BC681C">
        <w:rPr>
          <w:rFonts w:ascii="Times New Roman" w:hAnsi="Times New Roman" w:cs="Times New Roman"/>
          <w:i/>
          <w:sz w:val="24"/>
          <w:szCs w:val="24"/>
          <w:lang w:val="en-GB"/>
        </w:rPr>
        <w:t xml:space="preserve">. Festschrift </w:t>
      </w:r>
      <w:proofErr w:type="spellStart"/>
      <w:r w:rsidRPr="00BC681C">
        <w:rPr>
          <w:rFonts w:ascii="Times New Roman" w:hAnsi="Times New Roman" w:cs="Times New Roman"/>
          <w:i/>
          <w:sz w:val="24"/>
          <w:szCs w:val="24"/>
          <w:lang w:val="en-GB"/>
        </w:rPr>
        <w:t>für</w:t>
      </w:r>
      <w:proofErr w:type="spellEnd"/>
      <w:r w:rsidRPr="00BC681C">
        <w:rPr>
          <w:rFonts w:ascii="Times New Roman" w:hAnsi="Times New Roman" w:cs="Times New Roman"/>
          <w:i/>
          <w:sz w:val="24"/>
          <w:szCs w:val="24"/>
          <w:lang w:val="en-GB"/>
        </w:rPr>
        <w:t xml:space="preserve"> Konrad </w:t>
      </w:r>
      <w:proofErr w:type="spellStart"/>
      <w:r w:rsidRPr="00BC681C">
        <w:rPr>
          <w:rFonts w:ascii="Times New Roman" w:hAnsi="Times New Roman" w:cs="Times New Roman"/>
          <w:i/>
          <w:sz w:val="24"/>
          <w:szCs w:val="24"/>
          <w:lang w:val="en-GB"/>
        </w:rPr>
        <w:t>Redeker</w:t>
      </w:r>
      <w:proofErr w:type="spellEnd"/>
      <w:r w:rsidRPr="00BC681C">
        <w:rPr>
          <w:rFonts w:ascii="Times New Roman" w:hAnsi="Times New Roman" w:cs="Times New Roman"/>
          <w:i/>
          <w:sz w:val="24"/>
          <w:szCs w:val="24"/>
          <w:lang w:val="en-GB"/>
        </w:rPr>
        <w:t xml:space="preserve"> </w:t>
      </w:r>
      <w:proofErr w:type="spellStart"/>
      <w:r w:rsidRPr="00BC681C">
        <w:rPr>
          <w:rFonts w:ascii="Times New Roman" w:hAnsi="Times New Roman" w:cs="Times New Roman"/>
          <w:i/>
          <w:sz w:val="24"/>
          <w:szCs w:val="24"/>
          <w:lang w:val="en-GB"/>
        </w:rPr>
        <w:t>zum</w:t>
      </w:r>
      <w:proofErr w:type="spellEnd"/>
      <w:r w:rsidRPr="00BC681C">
        <w:rPr>
          <w:rFonts w:ascii="Times New Roman" w:hAnsi="Times New Roman" w:cs="Times New Roman"/>
          <w:i/>
          <w:sz w:val="24"/>
          <w:szCs w:val="24"/>
          <w:lang w:val="en-GB"/>
        </w:rPr>
        <w:t xml:space="preserve"> 70. </w:t>
      </w:r>
      <w:proofErr w:type="spellStart"/>
      <w:r w:rsidRPr="00BC681C">
        <w:rPr>
          <w:rFonts w:ascii="Times New Roman" w:hAnsi="Times New Roman" w:cs="Times New Roman"/>
          <w:i/>
          <w:sz w:val="24"/>
          <w:szCs w:val="24"/>
          <w:lang w:val="en-GB"/>
        </w:rPr>
        <w:t>Geburtstag</w:t>
      </w:r>
      <w:proofErr w:type="spellEnd"/>
      <w:r w:rsidRPr="00BC681C">
        <w:rPr>
          <w:rFonts w:ascii="Times New Roman" w:hAnsi="Times New Roman" w:cs="Times New Roman"/>
          <w:sz w:val="24"/>
          <w:szCs w:val="24"/>
          <w:lang w:val="en-GB"/>
        </w:rPr>
        <w:t xml:space="preserve">, C. H. </w:t>
      </w:r>
      <w:proofErr w:type="spellStart"/>
      <w:r w:rsidRPr="00BC681C">
        <w:rPr>
          <w:rFonts w:ascii="Times New Roman" w:hAnsi="Times New Roman" w:cs="Times New Roman"/>
          <w:sz w:val="24"/>
          <w:szCs w:val="24"/>
          <w:lang w:val="en-GB"/>
        </w:rPr>
        <w:t>Beck’sche</w:t>
      </w:r>
      <w:proofErr w:type="spellEnd"/>
      <w:r w:rsidRPr="00BC681C">
        <w:rPr>
          <w:rFonts w:ascii="Times New Roman" w:hAnsi="Times New Roman" w:cs="Times New Roman"/>
          <w:sz w:val="24"/>
          <w:szCs w:val="24"/>
          <w:lang w:val="en-GB"/>
        </w:rPr>
        <w:t xml:space="preserve"> </w:t>
      </w:r>
      <w:proofErr w:type="spellStart"/>
      <w:r w:rsidRPr="00BC681C">
        <w:rPr>
          <w:rFonts w:ascii="Times New Roman" w:hAnsi="Times New Roman" w:cs="Times New Roman"/>
          <w:sz w:val="24"/>
          <w:szCs w:val="24"/>
          <w:lang w:val="en-GB"/>
        </w:rPr>
        <w:t>Verlagsbuchhandlung</w:t>
      </w:r>
      <w:proofErr w:type="spellEnd"/>
    </w:p>
    <w:p w14:paraId="652CEF1C" w14:textId="3C0D2C10" w:rsidR="00A5479A" w:rsidRPr="00A5479A" w:rsidRDefault="00A5479A" w:rsidP="00BD2DDB">
      <w:pPr>
        <w:jc w:val="both"/>
        <w:rPr>
          <w:rFonts w:ascii="Times New Roman" w:hAnsi="Times New Roman" w:cs="Times New Roman"/>
          <w:sz w:val="24"/>
          <w:szCs w:val="24"/>
          <w:lang w:val="en-US"/>
        </w:rPr>
      </w:pPr>
      <w:r w:rsidRPr="00A5479A">
        <w:rPr>
          <w:rFonts w:ascii="Times New Roman" w:hAnsi="Times New Roman" w:cs="Times New Roman"/>
          <w:sz w:val="24"/>
          <w:szCs w:val="24"/>
          <w:lang w:val="en-GB"/>
        </w:rPr>
        <w:t>Petra Bárd</w:t>
      </w:r>
      <w:r>
        <w:rPr>
          <w:rFonts w:ascii="Times New Roman" w:hAnsi="Times New Roman" w:cs="Times New Roman"/>
          <w:sz w:val="24"/>
          <w:szCs w:val="24"/>
          <w:lang w:val="en-GB"/>
        </w:rPr>
        <w:t xml:space="preserve"> (2022)</w:t>
      </w:r>
      <w:r w:rsidRPr="00A5479A">
        <w:rPr>
          <w:rFonts w:ascii="Times New Roman" w:hAnsi="Times New Roman" w:cs="Times New Roman"/>
          <w:sz w:val="24"/>
          <w:szCs w:val="24"/>
          <w:lang w:val="en-GB"/>
        </w:rPr>
        <w:t xml:space="preserve">, “In courts we trust, or should we? Judicial independence as the precondition for the effectiveness of EU law”, </w:t>
      </w:r>
      <w:r w:rsidRPr="00A5479A">
        <w:rPr>
          <w:rFonts w:ascii="Times New Roman" w:hAnsi="Times New Roman" w:cs="Times New Roman"/>
          <w:i/>
          <w:iCs/>
          <w:sz w:val="24"/>
          <w:szCs w:val="24"/>
          <w:lang w:val="en-GB"/>
        </w:rPr>
        <w:t>in</w:t>
      </w:r>
      <w:r w:rsidRPr="00A5479A">
        <w:rPr>
          <w:rFonts w:ascii="Times New Roman" w:hAnsi="Times New Roman" w:cs="Times New Roman"/>
          <w:sz w:val="24"/>
          <w:szCs w:val="24"/>
          <w:lang w:val="en-GB"/>
        </w:rPr>
        <w:t xml:space="preserve"> European Law Journal, Vol 27</w:t>
      </w:r>
    </w:p>
    <w:p w14:paraId="7D2F9D63" w14:textId="5AB1FB66" w:rsidR="00F609EC" w:rsidRPr="00F609EC" w:rsidRDefault="00F609EC" w:rsidP="00F609EC">
      <w:pPr>
        <w:jc w:val="both"/>
        <w:rPr>
          <w:rFonts w:ascii="Times New Roman" w:hAnsi="Times New Roman" w:cs="Times New Roman"/>
          <w:sz w:val="24"/>
          <w:szCs w:val="24"/>
          <w:lang w:val="en-US"/>
        </w:rPr>
      </w:pPr>
      <w:r w:rsidRPr="00F609EC">
        <w:rPr>
          <w:rFonts w:ascii="Times New Roman" w:hAnsi="Times New Roman" w:cs="Times New Roman"/>
          <w:sz w:val="24"/>
          <w:szCs w:val="24"/>
          <w:lang w:val="en-US"/>
        </w:rPr>
        <w:lastRenderedPageBreak/>
        <w:t>PICUM Report</w:t>
      </w:r>
      <w:r>
        <w:rPr>
          <w:rFonts w:ascii="Times New Roman" w:hAnsi="Times New Roman" w:cs="Times New Roman"/>
          <w:sz w:val="24"/>
          <w:szCs w:val="24"/>
          <w:lang w:val="en-US"/>
        </w:rPr>
        <w:t xml:space="preserve"> </w:t>
      </w:r>
      <w:r w:rsidRPr="00F609EC">
        <w:rPr>
          <w:rFonts w:ascii="Times New Roman" w:hAnsi="Times New Roman" w:cs="Times New Roman"/>
          <w:sz w:val="24"/>
          <w:szCs w:val="24"/>
          <w:lang w:val="en-US"/>
        </w:rPr>
        <w:t xml:space="preserve">(2024), </w:t>
      </w:r>
      <w:r w:rsidRPr="00F609EC">
        <w:rPr>
          <w:rFonts w:ascii="Times New Roman" w:hAnsi="Times New Roman" w:cs="Times New Roman"/>
          <w:i/>
          <w:iCs/>
          <w:sz w:val="24"/>
          <w:szCs w:val="24"/>
          <w:lang w:val="en-US"/>
        </w:rPr>
        <w:t xml:space="preserve">Cases of </w:t>
      </w:r>
      <w:proofErr w:type="spellStart"/>
      <w:r w:rsidRPr="00F609EC">
        <w:rPr>
          <w:rFonts w:ascii="Times New Roman" w:hAnsi="Times New Roman" w:cs="Times New Roman"/>
          <w:i/>
          <w:iCs/>
          <w:sz w:val="24"/>
          <w:szCs w:val="24"/>
          <w:lang w:val="en-US"/>
        </w:rPr>
        <w:t>criminalisation</w:t>
      </w:r>
      <w:proofErr w:type="spellEnd"/>
      <w:r w:rsidRPr="00F609EC">
        <w:rPr>
          <w:rFonts w:ascii="Times New Roman" w:hAnsi="Times New Roman" w:cs="Times New Roman"/>
          <w:i/>
          <w:iCs/>
          <w:sz w:val="24"/>
          <w:szCs w:val="24"/>
          <w:lang w:val="en-US"/>
        </w:rPr>
        <w:t xml:space="preserve"> of migration and solidarity in the EU in 2023</w:t>
      </w:r>
      <w:r w:rsidRPr="00F609EC">
        <w:rPr>
          <w:rFonts w:ascii="Times New Roman" w:hAnsi="Times New Roman" w:cs="Times New Roman"/>
          <w:sz w:val="24"/>
          <w:szCs w:val="24"/>
          <w:lang w:val="en-US"/>
        </w:rPr>
        <w:t xml:space="preserve">, </w:t>
      </w:r>
      <w:proofErr w:type="spellStart"/>
      <w:r w:rsidRPr="00F609EC">
        <w:rPr>
          <w:rFonts w:ascii="Times New Roman" w:hAnsi="Times New Roman" w:cs="Times New Roman"/>
          <w:sz w:val="24"/>
          <w:szCs w:val="24"/>
          <w:lang w:val="en-US"/>
        </w:rPr>
        <w:t>disponível</w:t>
      </w:r>
      <w:proofErr w:type="spellEnd"/>
      <w:r w:rsidRPr="00F609EC">
        <w:rPr>
          <w:rFonts w:ascii="Times New Roman" w:hAnsi="Times New Roman" w:cs="Times New Roman"/>
          <w:sz w:val="24"/>
          <w:szCs w:val="24"/>
          <w:lang w:val="en-US"/>
        </w:rPr>
        <w:t xml:space="preserve"> </w:t>
      </w:r>
      <w:proofErr w:type="spellStart"/>
      <w:r w:rsidRPr="00F609EC">
        <w:rPr>
          <w:rFonts w:ascii="Times New Roman" w:hAnsi="Times New Roman" w:cs="Times New Roman"/>
          <w:sz w:val="24"/>
          <w:szCs w:val="24"/>
          <w:lang w:val="en-US"/>
        </w:rPr>
        <w:t>em</w:t>
      </w:r>
      <w:proofErr w:type="spellEnd"/>
      <w:r w:rsidRPr="00F609EC">
        <w:rPr>
          <w:rFonts w:ascii="Times New Roman" w:hAnsi="Times New Roman" w:cs="Times New Roman"/>
          <w:sz w:val="24"/>
          <w:szCs w:val="24"/>
          <w:lang w:val="en-US"/>
        </w:rPr>
        <w:t xml:space="preserve">: </w:t>
      </w:r>
      <w:hyperlink r:id="rId11" w:history="1">
        <w:r w:rsidRPr="00F609EC">
          <w:rPr>
            <w:rStyle w:val="Hipervnculo"/>
            <w:rFonts w:ascii="Times New Roman" w:hAnsi="Times New Roman" w:cs="Times New Roman"/>
            <w:sz w:val="24"/>
            <w:szCs w:val="24"/>
            <w:lang w:val="en-US"/>
          </w:rPr>
          <w:t>https://picum.org/blog/at-least-117-people-criminalised-for-helping-migrants-in-europe-in-2023/</w:t>
        </w:r>
      </w:hyperlink>
    </w:p>
    <w:p w14:paraId="223790AE" w14:textId="784A396E" w:rsidR="001D5C40" w:rsidRPr="00F609EC" w:rsidRDefault="001D5C40" w:rsidP="00BD2DDB">
      <w:pPr>
        <w:jc w:val="both"/>
        <w:rPr>
          <w:rFonts w:ascii="Times New Roman" w:hAnsi="Times New Roman" w:cs="Times New Roman"/>
          <w:sz w:val="24"/>
          <w:szCs w:val="24"/>
          <w:lang w:val="en-US"/>
        </w:rPr>
      </w:pPr>
      <w:r w:rsidRPr="00F609EC">
        <w:rPr>
          <w:rFonts w:ascii="Times New Roman" w:hAnsi="Times New Roman" w:cs="Times New Roman"/>
          <w:sz w:val="24"/>
          <w:szCs w:val="24"/>
          <w:lang w:val="en-US"/>
        </w:rPr>
        <w:t xml:space="preserve">Raquel Cardoso (2024), “Changing for the Better – Reframing Treaty Reform and Access to Justice”, </w:t>
      </w:r>
      <w:r w:rsidRPr="00F609EC">
        <w:rPr>
          <w:rFonts w:ascii="Times New Roman" w:hAnsi="Times New Roman" w:cs="Times New Roman"/>
          <w:i/>
          <w:iCs/>
          <w:sz w:val="24"/>
          <w:szCs w:val="24"/>
          <w:lang w:val="en-US"/>
        </w:rPr>
        <w:t xml:space="preserve">in </w:t>
      </w:r>
      <w:r w:rsidRPr="00F609EC">
        <w:rPr>
          <w:rFonts w:ascii="Times New Roman" w:hAnsi="Times New Roman" w:cs="Times New Roman"/>
          <w:sz w:val="24"/>
          <w:szCs w:val="24"/>
          <w:lang w:val="en-US"/>
        </w:rPr>
        <w:t xml:space="preserve">UKAEL (UK Association for European Law) Blog, 31/01/2024, </w:t>
      </w:r>
      <w:proofErr w:type="spellStart"/>
      <w:r w:rsidRPr="00F609EC">
        <w:rPr>
          <w:rFonts w:ascii="Times New Roman" w:hAnsi="Times New Roman" w:cs="Times New Roman"/>
          <w:sz w:val="24"/>
          <w:szCs w:val="24"/>
          <w:lang w:val="en-US"/>
        </w:rPr>
        <w:t>disponível</w:t>
      </w:r>
      <w:proofErr w:type="spellEnd"/>
      <w:r w:rsidRPr="00F609EC">
        <w:rPr>
          <w:rFonts w:ascii="Times New Roman" w:hAnsi="Times New Roman" w:cs="Times New Roman"/>
          <w:sz w:val="24"/>
          <w:szCs w:val="24"/>
          <w:lang w:val="en-US"/>
        </w:rPr>
        <w:t xml:space="preserve"> </w:t>
      </w:r>
      <w:proofErr w:type="spellStart"/>
      <w:r w:rsidRPr="00F609EC">
        <w:rPr>
          <w:rFonts w:ascii="Times New Roman" w:hAnsi="Times New Roman" w:cs="Times New Roman"/>
          <w:sz w:val="24"/>
          <w:szCs w:val="24"/>
          <w:lang w:val="en-US"/>
        </w:rPr>
        <w:t>em</w:t>
      </w:r>
      <w:proofErr w:type="spellEnd"/>
      <w:r w:rsidRPr="00F609EC">
        <w:rPr>
          <w:rFonts w:ascii="Times New Roman" w:hAnsi="Times New Roman" w:cs="Times New Roman"/>
          <w:sz w:val="24"/>
          <w:szCs w:val="24"/>
          <w:lang w:val="en-US"/>
        </w:rPr>
        <w:t xml:space="preserve"> </w:t>
      </w:r>
      <w:hyperlink r:id="rId12" w:history="1">
        <w:r w:rsidRPr="00F609EC">
          <w:rPr>
            <w:rStyle w:val="Hipervnculo"/>
            <w:rFonts w:ascii="Times New Roman" w:hAnsi="Times New Roman" w:cs="Times New Roman"/>
            <w:sz w:val="24"/>
            <w:szCs w:val="24"/>
            <w:lang w:val="en-US"/>
          </w:rPr>
          <w:t>https://ukael.org/2024/01/31/changing-for-the-better-reframing-treaty-reform-and-access-to-justice/</w:t>
        </w:r>
      </w:hyperlink>
    </w:p>
    <w:p w14:paraId="725FFE49" w14:textId="2B03AF8D" w:rsidR="00F609EC" w:rsidRDefault="00F609EC" w:rsidP="00BD2DDB">
      <w:pPr>
        <w:jc w:val="both"/>
        <w:rPr>
          <w:rFonts w:ascii="Times New Roman" w:hAnsi="Times New Roman" w:cs="Times New Roman"/>
          <w:sz w:val="24"/>
          <w:szCs w:val="24"/>
          <w:lang w:val="en-US"/>
        </w:rPr>
      </w:pPr>
      <w:r w:rsidRPr="00F609EC">
        <w:rPr>
          <w:rFonts w:ascii="Times New Roman" w:hAnsi="Times New Roman" w:cs="Times New Roman"/>
          <w:sz w:val="24"/>
          <w:szCs w:val="24"/>
          <w:lang w:val="en-US"/>
        </w:rPr>
        <w:t>R</w:t>
      </w:r>
      <w:r>
        <w:rPr>
          <w:rFonts w:ascii="Times New Roman" w:hAnsi="Times New Roman" w:cs="Times New Roman"/>
          <w:sz w:val="24"/>
          <w:szCs w:val="24"/>
          <w:lang w:val="en-US"/>
        </w:rPr>
        <w:t>aquel</w:t>
      </w:r>
      <w:r w:rsidRPr="00F609EC">
        <w:rPr>
          <w:rFonts w:ascii="Times New Roman" w:hAnsi="Times New Roman" w:cs="Times New Roman"/>
          <w:sz w:val="24"/>
          <w:szCs w:val="24"/>
          <w:lang w:val="en-US"/>
        </w:rPr>
        <w:t xml:space="preserve"> Cardoso</w:t>
      </w:r>
      <w:r>
        <w:rPr>
          <w:rFonts w:ascii="Times New Roman" w:hAnsi="Times New Roman" w:cs="Times New Roman"/>
          <w:sz w:val="24"/>
          <w:szCs w:val="24"/>
          <w:lang w:val="en-US"/>
        </w:rPr>
        <w:t xml:space="preserve"> </w:t>
      </w:r>
      <w:r w:rsidRPr="00F609EC">
        <w:rPr>
          <w:rFonts w:ascii="Times New Roman" w:hAnsi="Times New Roman" w:cs="Times New Roman"/>
          <w:sz w:val="24"/>
          <w:szCs w:val="24"/>
          <w:lang w:val="en-US"/>
        </w:rPr>
        <w:t xml:space="preserve">(2024) “Legitimacy and Rationalization in European Criminal Law: A Critical Analysis of the Criminalization of Migrant Smuggling”, </w:t>
      </w:r>
      <w:r w:rsidRPr="00F609EC">
        <w:rPr>
          <w:rFonts w:ascii="Times New Roman" w:hAnsi="Times New Roman" w:cs="Times New Roman"/>
          <w:i/>
          <w:iCs/>
          <w:sz w:val="24"/>
          <w:szCs w:val="24"/>
          <w:lang w:val="en-US"/>
        </w:rPr>
        <w:t>in</w:t>
      </w:r>
      <w:r w:rsidRPr="00F609EC">
        <w:rPr>
          <w:rFonts w:ascii="Times New Roman" w:hAnsi="Times New Roman" w:cs="Times New Roman"/>
          <w:sz w:val="24"/>
          <w:szCs w:val="24"/>
          <w:lang w:val="en-US"/>
        </w:rPr>
        <w:t xml:space="preserve"> University of Bologna Law Review, Vol. 9.2/24</w:t>
      </w:r>
    </w:p>
    <w:p w14:paraId="5C9CA9B0" w14:textId="1084F939" w:rsidR="00B11BE6" w:rsidRPr="00B11BE6" w:rsidRDefault="00B11BE6" w:rsidP="00B11BE6">
      <w:pPr>
        <w:jc w:val="both"/>
        <w:rPr>
          <w:rFonts w:ascii="Times New Roman" w:hAnsi="Times New Roman" w:cs="Times New Roman"/>
          <w:sz w:val="24"/>
          <w:szCs w:val="24"/>
          <w:lang w:val="en-US"/>
        </w:rPr>
      </w:pPr>
      <w:r w:rsidRPr="00B11BE6">
        <w:rPr>
          <w:rFonts w:ascii="Times New Roman" w:hAnsi="Times New Roman" w:cs="Times New Roman"/>
          <w:sz w:val="24"/>
          <w:szCs w:val="24"/>
          <w:lang w:val="en-US"/>
        </w:rPr>
        <w:t xml:space="preserve">Sergio Carrera, </w:t>
      </w:r>
      <w:proofErr w:type="spellStart"/>
      <w:r w:rsidRPr="00B11BE6">
        <w:rPr>
          <w:rFonts w:ascii="Times New Roman" w:hAnsi="Times New Roman" w:cs="Times New Roman"/>
          <w:sz w:val="24"/>
          <w:szCs w:val="24"/>
          <w:lang w:val="en-US"/>
        </w:rPr>
        <w:t>Júlia</w:t>
      </w:r>
      <w:proofErr w:type="spellEnd"/>
      <w:r w:rsidRPr="00B11BE6">
        <w:rPr>
          <w:rFonts w:ascii="Times New Roman" w:hAnsi="Times New Roman" w:cs="Times New Roman"/>
          <w:sz w:val="24"/>
          <w:szCs w:val="24"/>
          <w:lang w:val="en-US"/>
        </w:rPr>
        <w:t xml:space="preserve"> </w:t>
      </w:r>
      <w:proofErr w:type="spellStart"/>
      <w:r w:rsidRPr="00B11BE6">
        <w:rPr>
          <w:rFonts w:ascii="Times New Roman" w:hAnsi="Times New Roman" w:cs="Times New Roman"/>
          <w:sz w:val="24"/>
          <w:szCs w:val="24"/>
          <w:lang w:val="en-US"/>
        </w:rPr>
        <w:t>Pőcze</w:t>
      </w:r>
      <w:proofErr w:type="spellEnd"/>
      <w:r w:rsidRPr="00B11BE6">
        <w:rPr>
          <w:rFonts w:ascii="Times New Roman" w:hAnsi="Times New Roman" w:cs="Times New Roman"/>
          <w:sz w:val="24"/>
          <w:szCs w:val="24"/>
          <w:lang w:val="en-US"/>
        </w:rPr>
        <w:t xml:space="preserve"> and </w:t>
      </w:r>
      <w:proofErr w:type="spellStart"/>
      <w:r w:rsidRPr="00B11BE6">
        <w:rPr>
          <w:rFonts w:ascii="Times New Roman" w:hAnsi="Times New Roman" w:cs="Times New Roman"/>
          <w:sz w:val="24"/>
          <w:szCs w:val="24"/>
          <w:lang w:val="en-US"/>
        </w:rPr>
        <w:t>Davide</w:t>
      </w:r>
      <w:proofErr w:type="spellEnd"/>
      <w:r w:rsidRPr="00B11BE6">
        <w:rPr>
          <w:rFonts w:ascii="Times New Roman" w:hAnsi="Times New Roman" w:cs="Times New Roman"/>
          <w:sz w:val="24"/>
          <w:szCs w:val="24"/>
          <w:lang w:val="en-US"/>
        </w:rPr>
        <w:t xml:space="preserve"> </w:t>
      </w:r>
      <w:proofErr w:type="spellStart"/>
      <w:r w:rsidRPr="00B11BE6">
        <w:rPr>
          <w:rFonts w:ascii="Times New Roman" w:hAnsi="Times New Roman" w:cs="Times New Roman"/>
          <w:sz w:val="24"/>
          <w:szCs w:val="24"/>
          <w:lang w:val="en-US"/>
        </w:rPr>
        <w:t>Colombi</w:t>
      </w:r>
      <w:proofErr w:type="spellEnd"/>
      <w:r w:rsidRPr="00B11BE6">
        <w:rPr>
          <w:rFonts w:ascii="Times New Roman" w:hAnsi="Times New Roman" w:cs="Times New Roman"/>
          <w:sz w:val="24"/>
          <w:szCs w:val="24"/>
          <w:lang w:val="en-US"/>
        </w:rPr>
        <w:t xml:space="preserve"> (2024), “</w:t>
      </w:r>
      <w:r>
        <w:rPr>
          <w:rFonts w:ascii="Times New Roman" w:hAnsi="Times New Roman" w:cs="Times New Roman"/>
          <w:sz w:val="24"/>
          <w:szCs w:val="24"/>
          <w:lang w:val="en-US"/>
        </w:rPr>
        <w:t xml:space="preserve">A Rule of Law Agenda for 2030. </w:t>
      </w:r>
      <w:r w:rsidRPr="00B11BE6">
        <w:rPr>
          <w:rFonts w:ascii="Times New Roman" w:hAnsi="Times New Roman" w:cs="Times New Roman"/>
          <w:sz w:val="24"/>
          <w:szCs w:val="24"/>
          <w:lang w:val="en-US"/>
        </w:rPr>
        <w:t>Priorities for a principled area of</w:t>
      </w:r>
      <w:r>
        <w:rPr>
          <w:rFonts w:ascii="Times New Roman" w:hAnsi="Times New Roman" w:cs="Times New Roman"/>
          <w:sz w:val="24"/>
          <w:szCs w:val="24"/>
          <w:lang w:val="en-US"/>
        </w:rPr>
        <w:t xml:space="preserve"> </w:t>
      </w:r>
      <w:r w:rsidRPr="00B11BE6">
        <w:rPr>
          <w:rFonts w:ascii="Times New Roman" w:hAnsi="Times New Roman" w:cs="Times New Roman"/>
          <w:sz w:val="24"/>
          <w:szCs w:val="24"/>
          <w:lang w:val="en-US"/>
        </w:rPr>
        <w:t>freedom, security and justice</w:t>
      </w:r>
      <w:r>
        <w:rPr>
          <w:rFonts w:ascii="Times New Roman" w:hAnsi="Times New Roman" w:cs="Times New Roman"/>
          <w:sz w:val="24"/>
          <w:szCs w:val="24"/>
          <w:lang w:val="en-US"/>
        </w:rPr>
        <w:t xml:space="preserve">”, CEPS, October, </w:t>
      </w:r>
      <w:proofErr w:type="spellStart"/>
      <w:r>
        <w:rPr>
          <w:rFonts w:ascii="Times New Roman" w:hAnsi="Times New Roman" w:cs="Times New Roman"/>
          <w:sz w:val="24"/>
          <w:szCs w:val="24"/>
          <w:lang w:val="en-US"/>
        </w:rPr>
        <w:t>disponível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w:t>
      </w:r>
      <w:proofErr w:type="spellEnd"/>
      <w:r>
        <w:rPr>
          <w:rFonts w:ascii="Times New Roman" w:hAnsi="Times New Roman" w:cs="Times New Roman"/>
          <w:sz w:val="24"/>
          <w:szCs w:val="24"/>
          <w:lang w:val="en-US"/>
        </w:rPr>
        <w:t xml:space="preserve"> </w:t>
      </w:r>
      <w:hyperlink r:id="rId13" w:history="1">
        <w:r w:rsidRPr="009620E0">
          <w:rPr>
            <w:rStyle w:val="Hipervnculo"/>
            <w:rFonts w:ascii="Times New Roman" w:hAnsi="Times New Roman" w:cs="Times New Roman"/>
            <w:sz w:val="24"/>
            <w:szCs w:val="24"/>
            <w:lang w:val="en-US"/>
          </w:rPr>
          <w:t>https://www.ceps.eu/ceps-publications/a-rule-of-law-agenda-for-2030/</w:t>
        </w:r>
      </w:hyperlink>
      <w:r>
        <w:rPr>
          <w:rFonts w:ascii="Times New Roman" w:hAnsi="Times New Roman" w:cs="Times New Roman"/>
          <w:sz w:val="24"/>
          <w:szCs w:val="24"/>
          <w:lang w:val="en-US"/>
        </w:rPr>
        <w:t xml:space="preserve"> </w:t>
      </w:r>
    </w:p>
    <w:p w14:paraId="37962D28" w14:textId="020F5B8B" w:rsidR="00524168" w:rsidRDefault="00524168" w:rsidP="00BD2DDB">
      <w:pPr>
        <w:jc w:val="both"/>
        <w:rPr>
          <w:rFonts w:ascii="Times New Roman" w:hAnsi="Times New Roman" w:cs="Times New Roman"/>
          <w:bCs/>
          <w:sz w:val="24"/>
          <w:szCs w:val="24"/>
          <w:lang w:val="en-GB"/>
        </w:rPr>
      </w:pPr>
      <w:r w:rsidRPr="00BC681C">
        <w:rPr>
          <w:rFonts w:ascii="Times New Roman" w:hAnsi="Times New Roman" w:cs="Times New Roman"/>
          <w:bCs/>
          <w:sz w:val="24"/>
          <w:szCs w:val="24"/>
          <w:lang w:val="en-GB"/>
        </w:rPr>
        <w:t>Stephen</w:t>
      </w:r>
      <w:r w:rsidRPr="00BC681C">
        <w:rPr>
          <w:rFonts w:ascii="Times New Roman" w:hAnsi="Times New Roman" w:cs="Times New Roman"/>
          <w:bCs/>
          <w:smallCaps/>
          <w:sz w:val="24"/>
          <w:szCs w:val="24"/>
          <w:lang w:val="en-GB"/>
        </w:rPr>
        <w:t xml:space="preserve"> </w:t>
      </w:r>
      <w:r w:rsidRPr="00524168">
        <w:rPr>
          <w:rFonts w:ascii="Times New Roman" w:hAnsi="Times New Roman" w:cs="Times New Roman"/>
          <w:bCs/>
          <w:sz w:val="24"/>
          <w:szCs w:val="24"/>
          <w:lang w:val="en-GB"/>
        </w:rPr>
        <w:t>Coutts</w:t>
      </w:r>
      <w:r w:rsidR="00F05CDD">
        <w:rPr>
          <w:rFonts w:ascii="Times New Roman" w:hAnsi="Times New Roman" w:cs="Times New Roman"/>
          <w:bCs/>
          <w:sz w:val="24"/>
          <w:szCs w:val="24"/>
          <w:lang w:val="en-GB"/>
        </w:rPr>
        <w:t xml:space="preserve"> (2011)</w:t>
      </w:r>
      <w:r w:rsidRPr="00BC681C">
        <w:rPr>
          <w:rFonts w:ascii="Times New Roman" w:hAnsi="Times New Roman" w:cs="Times New Roman"/>
          <w:bCs/>
          <w:sz w:val="24"/>
          <w:szCs w:val="24"/>
          <w:lang w:val="en-GB"/>
        </w:rPr>
        <w:t xml:space="preserve">, “The Lisbon Treaty and the Area of Freedom, Security and Justice as an area of Legal Integration”, </w:t>
      </w:r>
      <w:r w:rsidRPr="00BC681C">
        <w:rPr>
          <w:rFonts w:ascii="Times New Roman" w:hAnsi="Times New Roman" w:cs="Times New Roman"/>
          <w:bCs/>
          <w:i/>
          <w:sz w:val="24"/>
          <w:szCs w:val="24"/>
          <w:lang w:val="en-GB"/>
        </w:rPr>
        <w:t xml:space="preserve">in </w:t>
      </w:r>
      <w:r w:rsidRPr="00BC681C">
        <w:rPr>
          <w:rFonts w:ascii="Times New Roman" w:hAnsi="Times New Roman" w:cs="Times New Roman"/>
          <w:bCs/>
          <w:sz w:val="24"/>
          <w:szCs w:val="24"/>
          <w:lang w:val="en-GB"/>
        </w:rPr>
        <w:t>Croatian Yearbook of European Law and Policy, Vol. 7</w:t>
      </w:r>
    </w:p>
    <w:p w14:paraId="248AC45F" w14:textId="70719106" w:rsidR="00F62A2B" w:rsidRDefault="00F62A2B" w:rsidP="00BD2DDB">
      <w:pPr>
        <w:jc w:val="both"/>
        <w:rPr>
          <w:rFonts w:ascii="Times New Roman" w:hAnsi="Times New Roman" w:cs="Times New Roman"/>
          <w:bCs/>
          <w:sz w:val="24"/>
          <w:szCs w:val="24"/>
          <w:lang w:val="en-GB"/>
        </w:rPr>
      </w:pPr>
      <w:r w:rsidRPr="00F62A2B">
        <w:rPr>
          <w:rFonts w:ascii="Times New Roman" w:hAnsi="Times New Roman" w:cs="Times New Roman"/>
          <w:bCs/>
          <w:sz w:val="24"/>
          <w:szCs w:val="24"/>
          <w:lang w:val="en-US"/>
        </w:rPr>
        <w:t xml:space="preserve">Sören Schomburg, Vânia Costa Ramos, William </w:t>
      </w:r>
      <w:proofErr w:type="spellStart"/>
      <w:r w:rsidRPr="00F62A2B">
        <w:rPr>
          <w:rFonts w:ascii="Times New Roman" w:hAnsi="Times New Roman" w:cs="Times New Roman"/>
          <w:bCs/>
          <w:sz w:val="24"/>
          <w:szCs w:val="24"/>
          <w:lang w:val="en-US"/>
        </w:rPr>
        <w:t>Julié</w:t>
      </w:r>
      <w:proofErr w:type="spellEnd"/>
      <w:r w:rsidRPr="00F62A2B">
        <w:rPr>
          <w:rFonts w:ascii="Times New Roman" w:hAnsi="Times New Roman" w:cs="Times New Roman"/>
          <w:bCs/>
          <w:sz w:val="24"/>
          <w:szCs w:val="24"/>
          <w:lang w:val="en-US"/>
        </w:rPr>
        <w:t xml:space="preserve">, </w:t>
      </w:r>
      <w:proofErr w:type="spellStart"/>
      <w:r w:rsidRPr="00F62A2B">
        <w:rPr>
          <w:rFonts w:ascii="Times New Roman" w:hAnsi="Times New Roman" w:cs="Times New Roman"/>
          <w:bCs/>
          <w:sz w:val="24"/>
          <w:szCs w:val="24"/>
          <w:lang w:val="en-US"/>
        </w:rPr>
        <w:t>Amélie</w:t>
      </w:r>
      <w:proofErr w:type="spellEnd"/>
      <w:r w:rsidRPr="00F62A2B">
        <w:rPr>
          <w:rFonts w:ascii="Times New Roman" w:hAnsi="Times New Roman" w:cs="Times New Roman"/>
          <w:bCs/>
          <w:sz w:val="24"/>
          <w:szCs w:val="24"/>
          <w:lang w:val="en-US"/>
        </w:rPr>
        <w:t xml:space="preserve"> </w:t>
      </w:r>
      <w:proofErr w:type="spellStart"/>
      <w:r w:rsidRPr="00F62A2B">
        <w:rPr>
          <w:rFonts w:ascii="Times New Roman" w:hAnsi="Times New Roman" w:cs="Times New Roman"/>
          <w:bCs/>
          <w:sz w:val="24"/>
          <w:szCs w:val="24"/>
          <w:lang w:val="en-US"/>
        </w:rPr>
        <w:t>Beauchemin</w:t>
      </w:r>
      <w:proofErr w:type="spellEnd"/>
      <w:r w:rsidRPr="00F62A2B">
        <w:rPr>
          <w:rFonts w:ascii="Times New Roman" w:hAnsi="Times New Roman" w:cs="Times New Roman"/>
          <w:bCs/>
          <w:sz w:val="24"/>
          <w:szCs w:val="24"/>
          <w:lang w:val="en-US"/>
        </w:rPr>
        <w:t xml:space="preserve"> and Rebecca Niblock</w:t>
      </w:r>
      <w:r>
        <w:rPr>
          <w:rFonts w:ascii="Times New Roman" w:hAnsi="Times New Roman" w:cs="Times New Roman"/>
          <w:bCs/>
          <w:sz w:val="24"/>
          <w:szCs w:val="24"/>
          <w:lang w:val="en-US"/>
        </w:rPr>
        <w:t xml:space="preserve"> (</w:t>
      </w:r>
      <w:r w:rsidRPr="00F62A2B">
        <w:rPr>
          <w:rFonts w:ascii="Times New Roman" w:hAnsi="Times New Roman" w:cs="Times New Roman"/>
          <w:bCs/>
          <w:sz w:val="24"/>
          <w:szCs w:val="24"/>
          <w:lang w:val="en-US"/>
        </w:rPr>
        <w:t>2022</w:t>
      </w:r>
      <w:r>
        <w:rPr>
          <w:rFonts w:ascii="Times New Roman" w:hAnsi="Times New Roman" w:cs="Times New Roman"/>
          <w:bCs/>
          <w:sz w:val="24"/>
          <w:szCs w:val="24"/>
          <w:lang w:val="en-US"/>
        </w:rPr>
        <w:t>)</w:t>
      </w:r>
      <w:r w:rsidRPr="00F62A2B">
        <w:rPr>
          <w:rFonts w:ascii="Times New Roman" w:hAnsi="Times New Roman" w:cs="Times New Roman"/>
          <w:bCs/>
          <w:sz w:val="24"/>
          <w:szCs w:val="24"/>
          <w:lang w:val="en-US"/>
        </w:rPr>
        <w:t xml:space="preserve">, ‘ECBA Statement on Mutual Recognition of Extradition Decisions’, of 21 June, </w:t>
      </w:r>
      <w:proofErr w:type="spellStart"/>
      <w:r>
        <w:rPr>
          <w:rFonts w:ascii="Times New Roman" w:hAnsi="Times New Roman" w:cs="Times New Roman"/>
          <w:bCs/>
          <w:sz w:val="24"/>
          <w:szCs w:val="24"/>
          <w:lang w:val="en-US"/>
        </w:rPr>
        <w:t>disponível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w:t>
      </w:r>
      <w:proofErr w:type="spellEnd"/>
      <w:r w:rsidRPr="00F62A2B">
        <w:rPr>
          <w:rFonts w:ascii="Times New Roman" w:hAnsi="Times New Roman" w:cs="Times New Roman"/>
          <w:bCs/>
          <w:sz w:val="24"/>
          <w:szCs w:val="24"/>
          <w:lang w:val="en-US"/>
        </w:rPr>
        <w:t xml:space="preserve"> </w:t>
      </w:r>
      <w:hyperlink r:id="rId14" w:history="1">
        <w:r w:rsidRPr="00F62A2B">
          <w:rPr>
            <w:rStyle w:val="Hipervnculo"/>
            <w:rFonts w:ascii="Times New Roman" w:hAnsi="Times New Roman" w:cs="Times New Roman"/>
            <w:bCs/>
            <w:sz w:val="24"/>
            <w:szCs w:val="24"/>
            <w:lang w:val="en-US"/>
          </w:rPr>
          <w:t>https://ecba.org/extdocserv/publ/ECBA_STATEMENT_Mutualrecognitionextraditiondecisions_21June2022.pdf</w:t>
        </w:r>
      </w:hyperlink>
      <w:r w:rsidRPr="00F62A2B">
        <w:rPr>
          <w:rFonts w:ascii="Times New Roman" w:hAnsi="Times New Roman" w:cs="Times New Roman"/>
          <w:bCs/>
          <w:sz w:val="24"/>
          <w:szCs w:val="24"/>
          <w:lang w:val="en-US"/>
        </w:rPr>
        <w:t xml:space="preserve"> </w:t>
      </w:r>
    </w:p>
    <w:p w14:paraId="333CCDBD" w14:textId="65DD4F45" w:rsidR="006E326D" w:rsidRDefault="006E326D" w:rsidP="00BD2DDB">
      <w:pPr>
        <w:jc w:val="both"/>
        <w:rPr>
          <w:rFonts w:ascii="Times New Roman" w:hAnsi="Times New Roman" w:cs="Times New Roman"/>
          <w:bCs/>
          <w:sz w:val="24"/>
          <w:szCs w:val="24"/>
          <w:lang w:val="en-GB"/>
        </w:rPr>
      </w:pPr>
      <w:r w:rsidRPr="007D3465">
        <w:rPr>
          <w:rFonts w:ascii="Times New Roman" w:hAnsi="Times New Roman" w:cs="Times New Roman"/>
          <w:sz w:val="24"/>
          <w:szCs w:val="24"/>
          <w:lang w:val="en-US"/>
        </w:rPr>
        <w:t xml:space="preserve">Tímea </w:t>
      </w:r>
      <w:r w:rsidRPr="006E326D">
        <w:rPr>
          <w:rFonts w:ascii="Times New Roman" w:hAnsi="Times New Roman" w:cs="Times New Roman"/>
          <w:sz w:val="24"/>
          <w:szCs w:val="24"/>
          <w:lang w:val="en-US"/>
        </w:rPr>
        <w:t>Drinóczi</w:t>
      </w:r>
      <w:r w:rsidRPr="007D3465">
        <w:rPr>
          <w:rFonts w:ascii="Times New Roman" w:hAnsi="Times New Roman" w:cs="Times New Roman"/>
          <w:sz w:val="24"/>
          <w:szCs w:val="24"/>
          <w:lang w:val="en-US"/>
        </w:rPr>
        <w:t xml:space="preserve"> and Pietro </w:t>
      </w:r>
      <w:r w:rsidRPr="006E326D">
        <w:rPr>
          <w:rFonts w:ascii="Times New Roman" w:hAnsi="Times New Roman" w:cs="Times New Roman"/>
          <w:sz w:val="24"/>
          <w:szCs w:val="24"/>
          <w:lang w:val="en-US"/>
        </w:rPr>
        <w:t>Faraguna</w:t>
      </w:r>
      <w:r w:rsidR="008B7596">
        <w:rPr>
          <w:rFonts w:ascii="Times New Roman" w:hAnsi="Times New Roman" w:cs="Times New Roman"/>
          <w:sz w:val="24"/>
          <w:szCs w:val="24"/>
          <w:lang w:val="en-US"/>
        </w:rPr>
        <w:t xml:space="preserve"> (2022)</w:t>
      </w:r>
      <w:r w:rsidRPr="007D3465">
        <w:rPr>
          <w:rFonts w:ascii="Times New Roman" w:hAnsi="Times New Roman" w:cs="Times New Roman"/>
          <w:smallCaps/>
          <w:sz w:val="24"/>
          <w:szCs w:val="24"/>
          <w:lang w:val="en-US"/>
        </w:rPr>
        <w:t>, “</w:t>
      </w:r>
      <w:r w:rsidRPr="007D3465">
        <w:rPr>
          <w:rFonts w:ascii="Times New Roman" w:hAnsi="Times New Roman" w:cs="Times New Roman"/>
          <w:sz w:val="24"/>
          <w:szCs w:val="24"/>
          <w:lang w:val="en-US"/>
        </w:rPr>
        <w:t xml:space="preserve">The Constitutional Identity of the EU as a Counterbalance for Unconstitutional Constitutional Identities of the Member States”, </w:t>
      </w:r>
      <w:r w:rsidRPr="007D3465">
        <w:rPr>
          <w:rFonts w:ascii="Times New Roman" w:hAnsi="Times New Roman" w:cs="Times New Roman"/>
          <w:i/>
          <w:iCs/>
          <w:sz w:val="24"/>
          <w:szCs w:val="24"/>
          <w:lang w:val="en-US"/>
        </w:rPr>
        <w:t xml:space="preserve">in </w:t>
      </w:r>
      <w:r w:rsidRPr="007D3465">
        <w:rPr>
          <w:rFonts w:ascii="Times New Roman" w:hAnsi="Times New Roman" w:cs="Times New Roman"/>
          <w:sz w:val="24"/>
          <w:szCs w:val="24"/>
          <w:lang w:val="en-US"/>
        </w:rPr>
        <w:t xml:space="preserve">European Yearbook of Constitutional Law, </w:t>
      </w:r>
      <w:proofErr w:type="spellStart"/>
      <w:r w:rsidR="008B7596">
        <w:rPr>
          <w:rFonts w:ascii="Times New Roman" w:hAnsi="Times New Roman" w:cs="Times New Roman"/>
          <w:sz w:val="24"/>
          <w:szCs w:val="24"/>
          <w:lang w:val="en-US"/>
        </w:rPr>
        <w:t>disponível</w:t>
      </w:r>
      <w:proofErr w:type="spellEnd"/>
      <w:r w:rsidR="008B7596">
        <w:rPr>
          <w:rFonts w:ascii="Times New Roman" w:hAnsi="Times New Roman" w:cs="Times New Roman"/>
          <w:sz w:val="24"/>
          <w:szCs w:val="24"/>
          <w:lang w:val="en-US"/>
        </w:rPr>
        <w:t xml:space="preserve"> </w:t>
      </w:r>
      <w:proofErr w:type="spellStart"/>
      <w:r w:rsidR="008B7596">
        <w:rPr>
          <w:rFonts w:ascii="Times New Roman" w:hAnsi="Times New Roman" w:cs="Times New Roman"/>
          <w:sz w:val="24"/>
          <w:szCs w:val="24"/>
          <w:lang w:val="en-US"/>
        </w:rPr>
        <w:t>em</w:t>
      </w:r>
      <w:proofErr w:type="spellEnd"/>
      <w:r w:rsidRPr="007D3465">
        <w:rPr>
          <w:rFonts w:ascii="Times New Roman" w:hAnsi="Times New Roman" w:cs="Times New Roman"/>
          <w:sz w:val="24"/>
          <w:szCs w:val="24"/>
          <w:lang w:val="en-US"/>
        </w:rPr>
        <w:t xml:space="preserve"> SSRN: </w:t>
      </w:r>
      <w:hyperlink r:id="rId15" w:history="1">
        <w:r w:rsidRPr="007D3465">
          <w:rPr>
            <w:rStyle w:val="Hipervnculo"/>
            <w:rFonts w:ascii="Times New Roman" w:hAnsi="Times New Roman" w:cs="Times New Roman"/>
            <w:sz w:val="24"/>
            <w:szCs w:val="24"/>
            <w:lang w:val="en-US"/>
          </w:rPr>
          <w:t>https://ssrn.com/abstract=4287559</w:t>
        </w:r>
      </w:hyperlink>
    </w:p>
    <w:p w14:paraId="2DA7B53F" w14:textId="6616903F" w:rsidR="003B0C3E" w:rsidRPr="003B0C3E" w:rsidRDefault="003B0C3E" w:rsidP="003B0C3E">
      <w:pPr>
        <w:rPr>
          <w:lang w:val="en-US"/>
        </w:rPr>
      </w:pPr>
      <w:r w:rsidRPr="00BC681C">
        <w:rPr>
          <w:rFonts w:ascii="Times New Roman" w:hAnsi="Times New Roman" w:cs="Times New Roman"/>
          <w:bCs/>
          <w:sz w:val="24"/>
          <w:szCs w:val="24"/>
          <w:lang w:val="en-GB"/>
        </w:rPr>
        <w:t>Thomas</w:t>
      </w:r>
      <w:r w:rsidRPr="00BC681C">
        <w:rPr>
          <w:rFonts w:ascii="Times New Roman" w:hAnsi="Times New Roman" w:cs="Times New Roman"/>
          <w:bCs/>
          <w:smallCaps/>
          <w:sz w:val="24"/>
          <w:szCs w:val="24"/>
          <w:lang w:val="en-GB"/>
        </w:rPr>
        <w:t xml:space="preserve"> </w:t>
      </w:r>
      <w:r w:rsidRPr="003B0C3E">
        <w:rPr>
          <w:rFonts w:ascii="Times New Roman" w:hAnsi="Times New Roman" w:cs="Times New Roman"/>
          <w:bCs/>
          <w:sz w:val="24"/>
          <w:szCs w:val="24"/>
          <w:lang w:val="en-GB"/>
        </w:rPr>
        <w:t>Wahl</w:t>
      </w:r>
      <w:r w:rsidR="008B7596">
        <w:rPr>
          <w:rFonts w:ascii="Times New Roman" w:hAnsi="Times New Roman" w:cs="Times New Roman"/>
          <w:bCs/>
          <w:sz w:val="24"/>
          <w:szCs w:val="24"/>
          <w:lang w:val="en-GB"/>
        </w:rPr>
        <w:t xml:space="preserve"> (2020)</w:t>
      </w:r>
      <w:r w:rsidRPr="00BC681C">
        <w:rPr>
          <w:rFonts w:ascii="Times New Roman" w:hAnsi="Times New Roman" w:cs="Times New Roman"/>
          <w:bCs/>
          <w:sz w:val="24"/>
          <w:szCs w:val="24"/>
          <w:lang w:val="en-GB"/>
        </w:rPr>
        <w:t xml:space="preserve">, “Refusal of European Arrest Warrants Due to Fair Trial Infringements”, </w:t>
      </w:r>
      <w:r w:rsidRPr="00BC681C">
        <w:rPr>
          <w:rFonts w:ascii="Times New Roman" w:hAnsi="Times New Roman" w:cs="Times New Roman"/>
          <w:bCs/>
          <w:i/>
          <w:iCs/>
          <w:sz w:val="24"/>
          <w:szCs w:val="24"/>
          <w:lang w:val="en-GB"/>
        </w:rPr>
        <w:t xml:space="preserve">in </w:t>
      </w:r>
      <w:proofErr w:type="spellStart"/>
      <w:r w:rsidRPr="00BC681C">
        <w:rPr>
          <w:rFonts w:ascii="Times New Roman" w:hAnsi="Times New Roman" w:cs="Times New Roman"/>
          <w:bCs/>
          <w:sz w:val="24"/>
          <w:szCs w:val="24"/>
          <w:lang w:val="en-GB"/>
        </w:rPr>
        <w:t>eucrim</w:t>
      </w:r>
      <w:proofErr w:type="spellEnd"/>
      <w:r w:rsidRPr="00BC681C">
        <w:rPr>
          <w:rFonts w:ascii="Times New Roman" w:hAnsi="Times New Roman" w:cs="Times New Roman"/>
          <w:bCs/>
          <w:sz w:val="24"/>
          <w:szCs w:val="24"/>
          <w:lang w:val="en-GB"/>
        </w:rPr>
        <w:t>, Issue 4</w:t>
      </w:r>
    </w:p>
    <w:p w14:paraId="625C3C0A" w14:textId="101B8410" w:rsidR="00CD2798" w:rsidRDefault="00CD2798" w:rsidP="00CD2798">
      <w:pPr>
        <w:rPr>
          <w:rFonts w:ascii="Times New Roman" w:hAnsi="Times New Roman" w:cs="Times New Roman"/>
          <w:bCs/>
          <w:sz w:val="24"/>
          <w:szCs w:val="24"/>
          <w:lang w:val="en-GB"/>
        </w:rPr>
      </w:pPr>
      <w:proofErr w:type="spellStart"/>
      <w:r w:rsidRPr="00BC681C">
        <w:rPr>
          <w:rFonts w:ascii="Times New Roman" w:hAnsi="Times New Roman" w:cs="Times New Roman"/>
          <w:bCs/>
          <w:sz w:val="24"/>
          <w:szCs w:val="24"/>
          <w:lang w:val="en-GB"/>
        </w:rPr>
        <w:t>Valsamis</w:t>
      </w:r>
      <w:proofErr w:type="spellEnd"/>
      <w:r w:rsidRPr="00BC681C">
        <w:rPr>
          <w:rFonts w:ascii="Times New Roman" w:hAnsi="Times New Roman" w:cs="Times New Roman"/>
          <w:bCs/>
          <w:smallCaps/>
          <w:sz w:val="24"/>
          <w:szCs w:val="24"/>
          <w:lang w:val="en-GB"/>
        </w:rPr>
        <w:t xml:space="preserve"> </w:t>
      </w:r>
      <w:proofErr w:type="spellStart"/>
      <w:r w:rsidRPr="00CD2798">
        <w:rPr>
          <w:rFonts w:ascii="Times New Roman" w:hAnsi="Times New Roman" w:cs="Times New Roman"/>
          <w:bCs/>
          <w:sz w:val="24"/>
          <w:szCs w:val="24"/>
          <w:lang w:val="en-GB"/>
        </w:rPr>
        <w:t>Mitsilegas</w:t>
      </w:r>
      <w:proofErr w:type="spellEnd"/>
      <w:r w:rsidR="00673321">
        <w:rPr>
          <w:rFonts w:ascii="Times New Roman" w:hAnsi="Times New Roman" w:cs="Times New Roman"/>
          <w:bCs/>
          <w:sz w:val="24"/>
          <w:szCs w:val="24"/>
          <w:lang w:val="en-GB"/>
        </w:rPr>
        <w:t xml:space="preserve"> (2020)</w:t>
      </w:r>
      <w:r w:rsidRPr="00BC681C">
        <w:rPr>
          <w:rFonts w:ascii="Times New Roman" w:hAnsi="Times New Roman" w:cs="Times New Roman"/>
          <w:bCs/>
          <w:sz w:val="24"/>
          <w:szCs w:val="24"/>
          <w:lang w:val="en-GB"/>
        </w:rPr>
        <w:t xml:space="preserve">, “Trust”, </w:t>
      </w:r>
      <w:r w:rsidRPr="00BC681C">
        <w:rPr>
          <w:rFonts w:ascii="Times New Roman" w:hAnsi="Times New Roman" w:cs="Times New Roman"/>
          <w:bCs/>
          <w:i/>
          <w:sz w:val="24"/>
          <w:szCs w:val="24"/>
          <w:lang w:val="en-GB"/>
        </w:rPr>
        <w:t>in</w:t>
      </w:r>
      <w:r w:rsidRPr="00BC681C">
        <w:rPr>
          <w:rFonts w:ascii="Times New Roman" w:hAnsi="Times New Roman" w:cs="Times New Roman"/>
          <w:bCs/>
          <w:sz w:val="24"/>
          <w:szCs w:val="24"/>
          <w:lang w:val="en-GB"/>
        </w:rPr>
        <w:t xml:space="preserve"> German Law Journal, Vol. 21, Issue 01</w:t>
      </w:r>
    </w:p>
    <w:p w14:paraId="34B44A27" w14:textId="3996F68A" w:rsidR="00B50A46" w:rsidRDefault="00B50A46" w:rsidP="00B50A46">
      <w:pPr>
        <w:rPr>
          <w:rFonts w:ascii="Times New Roman" w:hAnsi="Times New Roman" w:cs="Times New Roman"/>
          <w:bCs/>
          <w:sz w:val="24"/>
          <w:szCs w:val="24"/>
          <w:lang w:val="en-GB"/>
        </w:rPr>
      </w:pPr>
      <w:r w:rsidRPr="00B50A46">
        <w:rPr>
          <w:rFonts w:ascii="Times New Roman" w:hAnsi="Times New Roman" w:cs="Times New Roman"/>
          <w:bCs/>
          <w:sz w:val="24"/>
          <w:szCs w:val="24"/>
          <w:lang w:val="en-US"/>
        </w:rPr>
        <w:t>V. Pavlov and R. Cardoso</w:t>
      </w:r>
      <w:r>
        <w:rPr>
          <w:rFonts w:ascii="Times New Roman" w:hAnsi="Times New Roman" w:cs="Times New Roman"/>
          <w:bCs/>
          <w:sz w:val="24"/>
          <w:szCs w:val="24"/>
          <w:lang w:val="en-US"/>
        </w:rPr>
        <w:t xml:space="preserve"> </w:t>
      </w:r>
      <w:r w:rsidRPr="00B50A46">
        <w:rPr>
          <w:rFonts w:ascii="Times New Roman" w:hAnsi="Times New Roman" w:cs="Times New Roman"/>
          <w:bCs/>
          <w:sz w:val="24"/>
          <w:szCs w:val="24"/>
          <w:lang w:val="en-US"/>
        </w:rPr>
        <w:t>(2024)</w:t>
      </w:r>
      <w:r>
        <w:rPr>
          <w:rFonts w:ascii="Times New Roman" w:hAnsi="Times New Roman" w:cs="Times New Roman"/>
          <w:bCs/>
          <w:sz w:val="24"/>
          <w:szCs w:val="24"/>
          <w:lang w:val="en-US"/>
        </w:rPr>
        <w:t>,</w:t>
      </w:r>
      <w:r w:rsidRPr="00B50A46">
        <w:rPr>
          <w:rFonts w:ascii="Times New Roman" w:hAnsi="Times New Roman" w:cs="Times New Roman"/>
          <w:bCs/>
          <w:sz w:val="24"/>
          <w:szCs w:val="24"/>
          <w:lang w:val="en-US"/>
        </w:rPr>
        <w:t xml:space="preserve"> “The New Trend in the EU’s Migration Policy: Is Externalization Any Better?</w:t>
      </w:r>
      <w:proofErr w:type="gramStart"/>
      <w:r w:rsidRPr="00B50A46">
        <w:rPr>
          <w:rFonts w:ascii="Times New Roman" w:hAnsi="Times New Roman" w:cs="Times New Roman"/>
          <w:bCs/>
          <w:sz w:val="24"/>
          <w:szCs w:val="24"/>
          <w:lang w:val="en-US"/>
        </w:rPr>
        <w:t>”,</w:t>
      </w:r>
      <w:proofErr w:type="gramEnd"/>
      <w:r w:rsidRPr="00B50A46">
        <w:rPr>
          <w:rFonts w:ascii="Times New Roman" w:hAnsi="Times New Roman" w:cs="Times New Roman"/>
          <w:bCs/>
          <w:sz w:val="24"/>
          <w:szCs w:val="24"/>
          <w:lang w:val="en-US"/>
        </w:rPr>
        <w:t xml:space="preserve"> 10(3) </w:t>
      </w:r>
      <w:r w:rsidRPr="00B50A46">
        <w:rPr>
          <w:rFonts w:ascii="Times New Roman" w:hAnsi="Times New Roman" w:cs="Times New Roman"/>
          <w:bCs/>
          <w:i/>
          <w:iCs/>
          <w:sz w:val="24"/>
          <w:szCs w:val="24"/>
          <w:lang w:val="en-US"/>
        </w:rPr>
        <w:t>Journal of Liberty and International Affairs</w:t>
      </w:r>
    </w:p>
    <w:p w14:paraId="36C8576C" w14:textId="778ECF7E" w:rsidR="00056383" w:rsidRPr="00056383" w:rsidRDefault="00056383" w:rsidP="00056383">
      <w:pPr>
        <w:rPr>
          <w:rFonts w:ascii="Times New Roman" w:hAnsi="Times New Roman" w:cs="Times New Roman"/>
          <w:sz w:val="24"/>
          <w:szCs w:val="24"/>
          <w:lang w:val="en-GB"/>
        </w:rPr>
      </w:pPr>
      <w:r w:rsidRPr="00056383">
        <w:rPr>
          <w:rFonts w:ascii="Times New Roman" w:hAnsi="Times New Roman" w:cs="Times New Roman"/>
          <w:sz w:val="24"/>
          <w:szCs w:val="24"/>
          <w:lang w:val="en-GB"/>
        </w:rPr>
        <w:t>Vânia Costa Ramos</w:t>
      </w:r>
      <w:r>
        <w:rPr>
          <w:rFonts w:ascii="Times New Roman" w:hAnsi="Times New Roman" w:cs="Times New Roman"/>
          <w:sz w:val="24"/>
          <w:szCs w:val="24"/>
          <w:lang w:val="en-GB"/>
        </w:rPr>
        <w:t>,</w:t>
      </w:r>
      <w:r w:rsidRPr="00056383">
        <w:rPr>
          <w:rFonts w:ascii="Times New Roman" w:hAnsi="Times New Roman" w:cs="Times New Roman"/>
          <w:sz w:val="24"/>
          <w:szCs w:val="24"/>
          <w:lang w:val="en-GB"/>
        </w:rPr>
        <w:t xml:space="preserve"> Diana Silva Pereira</w:t>
      </w:r>
      <w:r>
        <w:rPr>
          <w:rFonts w:ascii="Times New Roman" w:hAnsi="Times New Roman" w:cs="Times New Roman"/>
          <w:sz w:val="24"/>
          <w:szCs w:val="24"/>
          <w:lang w:val="en-GB"/>
        </w:rPr>
        <w:t xml:space="preserve"> (2024)</w:t>
      </w:r>
      <w:r w:rsidRPr="00056383">
        <w:rPr>
          <w:rFonts w:ascii="Times New Roman" w:hAnsi="Times New Roman" w:cs="Times New Roman"/>
          <w:sz w:val="24"/>
          <w:szCs w:val="24"/>
          <w:lang w:val="en-GB"/>
        </w:rPr>
        <w:t xml:space="preserve">, “Right of appeal by the accused in criminal matters in European Public Prosecutor’s Office (EPPO) Cases: no access to the Court of Justice of the European Union (CJEU) = no effective remedies for breaches of EU Law”, 22/04/2024, </w:t>
      </w:r>
      <w:proofErr w:type="spellStart"/>
      <w:r>
        <w:rPr>
          <w:rFonts w:ascii="Times New Roman" w:hAnsi="Times New Roman" w:cs="Times New Roman"/>
          <w:sz w:val="24"/>
          <w:szCs w:val="24"/>
          <w:lang w:val="en-GB"/>
        </w:rPr>
        <w:t>disponível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w:t>
      </w:r>
      <w:proofErr w:type="spellEnd"/>
      <w:r w:rsidRPr="00056383">
        <w:rPr>
          <w:rFonts w:ascii="Times New Roman" w:hAnsi="Times New Roman" w:cs="Times New Roman"/>
          <w:sz w:val="24"/>
          <w:szCs w:val="24"/>
          <w:lang w:val="en-GB"/>
        </w:rPr>
        <w:t xml:space="preserve"> </w:t>
      </w:r>
      <w:hyperlink r:id="rId16" w:history="1">
        <w:r w:rsidRPr="00056383">
          <w:rPr>
            <w:rStyle w:val="Hipervnculo"/>
            <w:rFonts w:ascii="Times New Roman" w:hAnsi="Times New Roman" w:cs="Times New Roman"/>
            <w:sz w:val="24"/>
            <w:szCs w:val="24"/>
            <w:lang w:val="en-GB"/>
          </w:rPr>
          <w:t>https://carlospintodeabreu.com/wp-content/uploads/2024/04/2024-04-222-Right-to-appeal-by-the-accused-in-criminal-matters-in-EPPO-Cases.pdf</w:t>
        </w:r>
      </w:hyperlink>
      <w:r w:rsidRPr="00056383">
        <w:rPr>
          <w:rFonts w:ascii="Times New Roman" w:hAnsi="Times New Roman" w:cs="Times New Roman"/>
          <w:sz w:val="24"/>
          <w:szCs w:val="24"/>
          <w:lang w:val="en-GB"/>
        </w:rPr>
        <w:t xml:space="preserve"> </w:t>
      </w:r>
    </w:p>
    <w:p w14:paraId="0EF858C7" w14:textId="77777777" w:rsidR="00A34A69" w:rsidRPr="009D4097" w:rsidRDefault="00A34A69" w:rsidP="00BD2DDB">
      <w:pPr>
        <w:jc w:val="both"/>
        <w:rPr>
          <w:rFonts w:ascii="Times New Roman" w:hAnsi="Times New Roman" w:cs="Times New Roman"/>
          <w:sz w:val="24"/>
          <w:szCs w:val="24"/>
          <w:lang w:val="en-US"/>
        </w:rPr>
      </w:pPr>
    </w:p>
    <w:p w14:paraId="099AD3E6" w14:textId="23591EF3" w:rsidR="00A34A69" w:rsidRPr="007C33F9" w:rsidRDefault="00787C53" w:rsidP="00BD2DDB">
      <w:pPr>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D</w:t>
      </w:r>
      <w:r w:rsidR="00A34A69" w:rsidRPr="007C33F9">
        <w:rPr>
          <w:rFonts w:ascii="Times New Roman" w:hAnsi="Times New Roman" w:cs="Times New Roman"/>
          <w:b/>
          <w:bCs/>
          <w:sz w:val="24"/>
          <w:szCs w:val="24"/>
          <w:lang w:val="en-GB"/>
        </w:rPr>
        <w:t>ocumentos</w:t>
      </w:r>
      <w:proofErr w:type="spellEnd"/>
      <w:r w:rsidR="00A34A69" w:rsidRPr="007C33F9">
        <w:rPr>
          <w:rFonts w:ascii="Times New Roman" w:hAnsi="Times New Roman" w:cs="Times New Roman"/>
          <w:b/>
          <w:bCs/>
          <w:sz w:val="24"/>
          <w:szCs w:val="24"/>
          <w:lang w:val="en-GB"/>
        </w:rPr>
        <w:t xml:space="preserve"> </w:t>
      </w:r>
      <w:proofErr w:type="spellStart"/>
      <w:r w:rsidR="00A34A69" w:rsidRPr="007C33F9">
        <w:rPr>
          <w:rFonts w:ascii="Times New Roman" w:hAnsi="Times New Roman" w:cs="Times New Roman"/>
          <w:b/>
          <w:bCs/>
          <w:sz w:val="24"/>
          <w:szCs w:val="24"/>
          <w:lang w:val="en-GB"/>
        </w:rPr>
        <w:t>oficiais</w:t>
      </w:r>
      <w:proofErr w:type="spellEnd"/>
      <w:r w:rsidR="00A34A69" w:rsidRPr="007C33F9">
        <w:rPr>
          <w:rFonts w:ascii="Times New Roman" w:hAnsi="Times New Roman" w:cs="Times New Roman"/>
          <w:b/>
          <w:bCs/>
          <w:sz w:val="24"/>
          <w:szCs w:val="24"/>
          <w:lang w:val="en-GB"/>
        </w:rPr>
        <w:t xml:space="preserve"> </w:t>
      </w:r>
    </w:p>
    <w:p w14:paraId="22641E42" w14:textId="626931AC" w:rsidR="002C4065" w:rsidRDefault="002C4065" w:rsidP="00BD2DDB">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lastRenderedPageBreak/>
        <w:t>Comissão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Europeia</w:t>
      </w:r>
      <w:proofErr w:type="spellEnd"/>
      <w:r w:rsidR="00DF4320">
        <w:rPr>
          <w:rFonts w:ascii="Times New Roman" w:hAnsi="Times New Roman" w:cs="Times New Roman"/>
          <w:sz w:val="24"/>
          <w:szCs w:val="24"/>
          <w:lang w:val="en-GB"/>
        </w:rPr>
        <w:t xml:space="preserve"> </w:t>
      </w:r>
      <w:r>
        <w:rPr>
          <w:rFonts w:ascii="Times New Roman" w:hAnsi="Times New Roman" w:cs="Times New Roman"/>
          <w:sz w:val="24"/>
          <w:szCs w:val="24"/>
          <w:lang w:val="en-GB"/>
        </w:rPr>
        <w:t>(1992)</w:t>
      </w:r>
      <w:r w:rsidR="00DF432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C4065">
        <w:rPr>
          <w:rFonts w:ascii="Times New Roman" w:hAnsi="Times New Roman" w:cs="Times New Roman"/>
          <w:sz w:val="24"/>
          <w:szCs w:val="24"/>
          <w:lang w:val="en-US"/>
        </w:rPr>
        <w:t>Bulletin of the European Communities</w:t>
      </w:r>
      <w:r>
        <w:rPr>
          <w:rFonts w:ascii="Times New Roman" w:hAnsi="Times New Roman" w:cs="Times New Roman"/>
          <w:sz w:val="24"/>
          <w:szCs w:val="24"/>
          <w:lang w:val="en-US"/>
        </w:rPr>
        <w:t>,</w:t>
      </w:r>
      <w:r w:rsidRPr="002C4065">
        <w:rPr>
          <w:rFonts w:ascii="Times New Roman" w:hAnsi="Times New Roman" w:cs="Times New Roman"/>
          <w:sz w:val="24"/>
          <w:szCs w:val="24"/>
          <w:lang w:val="en-US"/>
        </w:rPr>
        <w:t xml:space="preserve"> Supplement 3/92</w:t>
      </w:r>
      <w:r>
        <w:rPr>
          <w:rFonts w:ascii="Times New Roman" w:hAnsi="Times New Roman" w:cs="Times New Roman"/>
          <w:sz w:val="24"/>
          <w:szCs w:val="24"/>
          <w:lang w:val="en-US"/>
        </w:rPr>
        <w:t>,</w:t>
      </w:r>
      <w:r w:rsidRPr="002C40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2C4065">
        <w:rPr>
          <w:rFonts w:ascii="Times New Roman" w:hAnsi="Times New Roman" w:cs="Times New Roman"/>
          <w:sz w:val="24"/>
          <w:szCs w:val="24"/>
          <w:lang w:val="en-US"/>
        </w:rPr>
        <w:t>Europe and the challenge of enlargement</w:t>
      </w:r>
      <w:r>
        <w:rPr>
          <w:rFonts w:ascii="Times New Roman" w:hAnsi="Times New Roman" w:cs="Times New Roman"/>
          <w:sz w:val="24"/>
          <w:szCs w:val="24"/>
          <w:lang w:val="en-US"/>
        </w:rPr>
        <w:t>”,</w:t>
      </w:r>
      <w:r w:rsidRPr="002C4065">
        <w:rPr>
          <w:rFonts w:ascii="Times New Roman" w:hAnsi="Times New Roman" w:cs="Times New Roman"/>
          <w:sz w:val="24"/>
          <w:szCs w:val="24"/>
          <w:lang w:val="en-US"/>
        </w:rPr>
        <w:t xml:space="preserve"> 24 June 1992 </w:t>
      </w:r>
      <w:r>
        <w:rPr>
          <w:rFonts w:ascii="Times New Roman" w:hAnsi="Times New Roman" w:cs="Times New Roman"/>
          <w:sz w:val="24"/>
          <w:szCs w:val="24"/>
          <w:lang w:val="en-US"/>
        </w:rPr>
        <w:t>(</w:t>
      </w:r>
      <w:r w:rsidRPr="002C4065">
        <w:rPr>
          <w:rFonts w:ascii="Times New Roman" w:hAnsi="Times New Roman" w:cs="Times New Roman"/>
          <w:sz w:val="24"/>
          <w:szCs w:val="24"/>
          <w:lang w:val="en-US"/>
        </w:rPr>
        <w:t>Prepared for the European Council Lisbon, 26-27 June 1992</w:t>
      </w:r>
      <w:r>
        <w:rPr>
          <w:rFonts w:ascii="Times New Roman" w:hAnsi="Times New Roman" w:cs="Times New Roman"/>
          <w:sz w:val="24"/>
          <w:szCs w:val="24"/>
          <w:lang w:val="en-US"/>
        </w:rPr>
        <w:t>)</w:t>
      </w:r>
    </w:p>
    <w:p w14:paraId="4C11B8FB" w14:textId="22ED392D" w:rsidR="00C53B06" w:rsidRDefault="00C53B06" w:rsidP="00BD2DDB">
      <w:pPr>
        <w:jc w:val="both"/>
        <w:rPr>
          <w:rFonts w:ascii="Times New Roman" w:hAnsi="Times New Roman" w:cs="Times New Roman"/>
          <w:sz w:val="24"/>
          <w:szCs w:val="24"/>
          <w:lang w:val="en-US"/>
        </w:rPr>
      </w:pPr>
      <w:proofErr w:type="spellStart"/>
      <w:r w:rsidRPr="00C53B06">
        <w:rPr>
          <w:rFonts w:ascii="Times New Roman" w:hAnsi="Times New Roman" w:cs="Times New Roman"/>
          <w:sz w:val="24"/>
          <w:szCs w:val="24"/>
          <w:lang w:val="en-US"/>
        </w:rPr>
        <w:t>Comissão</w:t>
      </w:r>
      <w:proofErr w:type="spellEnd"/>
      <w:r w:rsidRPr="00C53B06">
        <w:rPr>
          <w:rFonts w:ascii="Times New Roman" w:hAnsi="Times New Roman" w:cs="Times New Roman"/>
          <w:sz w:val="24"/>
          <w:szCs w:val="24"/>
          <w:lang w:val="en-US"/>
        </w:rPr>
        <w:t xml:space="preserve"> </w:t>
      </w:r>
      <w:proofErr w:type="spellStart"/>
      <w:r w:rsidRPr="00C53B06">
        <w:rPr>
          <w:rFonts w:ascii="Times New Roman" w:hAnsi="Times New Roman" w:cs="Times New Roman"/>
          <w:sz w:val="24"/>
          <w:szCs w:val="24"/>
          <w:lang w:val="en-US"/>
        </w:rPr>
        <w:t>Europeia</w:t>
      </w:r>
      <w:proofErr w:type="spellEnd"/>
      <w:r>
        <w:rPr>
          <w:rFonts w:ascii="Times New Roman" w:hAnsi="Times New Roman" w:cs="Times New Roman"/>
          <w:sz w:val="24"/>
          <w:szCs w:val="24"/>
          <w:lang w:val="en-US"/>
        </w:rPr>
        <w:t xml:space="preserve"> </w:t>
      </w:r>
      <w:r w:rsidRPr="00C53B06">
        <w:rPr>
          <w:rFonts w:ascii="Times New Roman" w:hAnsi="Times New Roman" w:cs="Times New Roman"/>
          <w:sz w:val="24"/>
          <w:szCs w:val="24"/>
          <w:lang w:val="en-US"/>
        </w:rPr>
        <w:t>(2024</w:t>
      </w:r>
      <w:r w:rsidR="009A3AC0">
        <w:rPr>
          <w:rFonts w:ascii="Times New Roman" w:hAnsi="Times New Roman" w:cs="Times New Roman"/>
          <w:sz w:val="24"/>
          <w:szCs w:val="24"/>
          <w:lang w:val="en-US"/>
        </w:rPr>
        <w:t>a</w:t>
      </w:r>
      <w:r w:rsidRPr="00C53B06">
        <w:rPr>
          <w:rFonts w:ascii="Times New Roman" w:hAnsi="Times New Roman" w:cs="Times New Roman"/>
          <w:sz w:val="24"/>
          <w:szCs w:val="24"/>
          <w:lang w:val="en-US"/>
        </w:rPr>
        <w:t>)</w:t>
      </w:r>
      <w:r>
        <w:rPr>
          <w:rFonts w:ascii="Times New Roman" w:hAnsi="Times New Roman" w:cs="Times New Roman"/>
          <w:sz w:val="24"/>
          <w:szCs w:val="24"/>
          <w:lang w:val="en-US"/>
        </w:rPr>
        <w:t>,</w:t>
      </w:r>
      <w:r w:rsidRPr="00C53B06">
        <w:rPr>
          <w:rFonts w:ascii="Times New Roman" w:hAnsi="Times New Roman" w:cs="Times New Roman"/>
          <w:sz w:val="24"/>
          <w:szCs w:val="24"/>
          <w:lang w:val="en-US"/>
        </w:rPr>
        <w:t xml:space="preserve"> Press Corner, </w:t>
      </w:r>
      <w:r w:rsidRPr="00C53B06">
        <w:rPr>
          <w:rFonts w:ascii="Times New Roman" w:hAnsi="Times New Roman" w:cs="Times New Roman"/>
          <w:i/>
          <w:iCs/>
          <w:sz w:val="24"/>
          <w:szCs w:val="24"/>
          <w:lang w:val="en-US"/>
        </w:rPr>
        <w:t>Commission takes stock of key achievements on migration and asylum</w:t>
      </w:r>
      <w:r w:rsidRPr="00C53B06">
        <w:rPr>
          <w:rFonts w:ascii="Times New Roman" w:hAnsi="Times New Roman" w:cs="Times New Roman"/>
          <w:sz w:val="24"/>
          <w:szCs w:val="24"/>
          <w:lang w:val="en-US"/>
        </w:rPr>
        <w:t xml:space="preserve">, 12 March 2024 (and corresponding factsheet), </w:t>
      </w:r>
      <w:proofErr w:type="spellStart"/>
      <w:r w:rsidRPr="00C53B06">
        <w:rPr>
          <w:rFonts w:ascii="Times New Roman" w:hAnsi="Times New Roman" w:cs="Times New Roman"/>
          <w:sz w:val="24"/>
          <w:szCs w:val="24"/>
          <w:lang w:val="en-US"/>
        </w:rPr>
        <w:t>disponível</w:t>
      </w:r>
      <w:proofErr w:type="spellEnd"/>
      <w:r w:rsidRPr="00C53B06">
        <w:rPr>
          <w:rFonts w:ascii="Times New Roman" w:hAnsi="Times New Roman" w:cs="Times New Roman"/>
          <w:sz w:val="24"/>
          <w:szCs w:val="24"/>
          <w:lang w:val="en-US"/>
        </w:rPr>
        <w:t xml:space="preserve"> </w:t>
      </w:r>
      <w:proofErr w:type="spellStart"/>
      <w:r w:rsidRPr="00C53B06">
        <w:rPr>
          <w:rFonts w:ascii="Times New Roman" w:hAnsi="Times New Roman" w:cs="Times New Roman"/>
          <w:sz w:val="24"/>
          <w:szCs w:val="24"/>
          <w:lang w:val="en-US"/>
        </w:rPr>
        <w:t>em</w:t>
      </w:r>
      <w:proofErr w:type="spellEnd"/>
      <w:r w:rsidRPr="00C53B06">
        <w:rPr>
          <w:rFonts w:ascii="Times New Roman" w:hAnsi="Times New Roman" w:cs="Times New Roman"/>
          <w:sz w:val="24"/>
          <w:szCs w:val="24"/>
          <w:lang w:val="en-US"/>
        </w:rPr>
        <w:t xml:space="preserve"> </w:t>
      </w:r>
      <w:hyperlink r:id="rId17" w:history="1">
        <w:r w:rsidRPr="00C53B06">
          <w:rPr>
            <w:rStyle w:val="Hipervnculo"/>
            <w:rFonts w:ascii="Times New Roman" w:hAnsi="Times New Roman" w:cs="Times New Roman"/>
            <w:sz w:val="24"/>
            <w:szCs w:val="24"/>
            <w:lang w:val="en-US"/>
          </w:rPr>
          <w:t>https://ec.europa.eu/commission/presscorner/detail/en/ip_24_1413</w:t>
        </w:r>
      </w:hyperlink>
    </w:p>
    <w:p w14:paraId="6F21C73B" w14:textId="71EE8D97" w:rsidR="009A3AC0" w:rsidRPr="009A3AC0" w:rsidRDefault="009A3AC0" w:rsidP="00BD2DDB">
      <w:pPr>
        <w:jc w:val="both"/>
        <w:rPr>
          <w:rFonts w:ascii="Times New Roman" w:hAnsi="Times New Roman" w:cs="Times New Roman"/>
          <w:sz w:val="24"/>
          <w:szCs w:val="24"/>
          <w:lang w:val="en-US"/>
        </w:rPr>
      </w:pPr>
      <w:proofErr w:type="spellStart"/>
      <w:r w:rsidRPr="009A3AC0">
        <w:rPr>
          <w:rFonts w:ascii="Times New Roman" w:hAnsi="Times New Roman" w:cs="Times New Roman"/>
          <w:sz w:val="24"/>
          <w:szCs w:val="24"/>
          <w:lang w:val="en-US"/>
        </w:rPr>
        <w:t>Comissão</w:t>
      </w:r>
      <w:proofErr w:type="spellEnd"/>
      <w:r w:rsidRPr="009A3AC0">
        <w:rPr>
          <w:rFonts w:ascii="Times New Roman" w:hAnsi="Times New Roman" w:cs="Times New Roman"/>
          <w:sz w:val="24"/>
          <w:szCs w:val="24"/>
          <w:lang w:val="en-US"/>
        </w:rPr>
        <w:t xml:space="preserve"> </w:t>
      </w:r>
      <w:proofErr w:type="spellStart"/>
      <w:r w:rsidRPr="009A3AC0">
        <w:rPr>
          <w:rFonts w:ascii="Times New Roman" w:hAnsi="Times New Roman" w:cs="Times New Roman"/>
          <w:sz w:val="24"/>
          <w:szCs w:val="24"/>
          <w:lang w:val="en-US"/>
        </w:rPr>
        <w:t>Europeia</w:t>
      </w:r>
      <w:proofErr w:type="spellEnd"/>
      <w:r w:rsidRPr="009A3A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(2024b), </w:t>
      </w:r>
      <w:r w:rsidRPr="005E1465">
        <w:rPr>
          <w:rFonts w:ascii="Times New Roman" w:hAnsi="Times New Roman" w:cs="Times New Roman"/>
          <w:sz w:val="24"/>
          <w:szCs w:val="24"/>
          <w:lang w:val="en-US"/>
        </w:rPr>
        <w:t xml:space="preserve">Press Corner, </w:t>
      </w:r>
      <w:r w:rsidRPr="005E1465">
        <w:rPr>
          <w:rFonts w:ascii="Times New Roman" w:hAnsi="Times New Roman" w:cs="Times New Roman"/>
          <w:i/>
          <w:iCs/>
          <w:sz w:val="24"/>
          <w:szCs w:val="24"/>
          <w:lang w:val="en-US"/>
        </w:rPr>
        <w:t xml:space="preserve">Commission steps up support for Member States to strengthen EU security and counter the </w:t>
      </w:r>
      <w:proofErr w:type="spellStart"/>
      <w:r w:rsidRPr="005E1465">
        <w:rPr>
          <w:rFonts w:ascii="Times New Roman" w:hAnsi="Times New Roman" w:cs="Times New Roman"/>
          <w:i/>
          <w:iCs/>
          <w:sz w:val="24"/>
          <w:szCs w:val="24"/>
          <w:lang w:val="en-US"/>
        </w:rPr>
        <w:t>weaponisation</w:t>
      </w:r>
      <w:proofErr w:type="spellEnd"/>
      <w:r w:rsidRPr="005E1465">
        <w:rPr>
          <w:rFonts w:ascii="Times New Roman" w:hAnsi="Times New Roman" w:cs="Times New Roman"/>
          <w:i/>
          <w:iCs/>
          <w:sz w:val="24"/>
          <w:szCs w:val="24"/>
          <w:lang w:val="en-US"/>
        </w:rPr>
        <w:t xml:space="preserve"> of migration</w:t>
      </w:r>
      <w:r w:rsidRPr="005E1465">
        <w:rPr>
          <w:rFonts w:ascii="Times New Roman" w:hAnsi="Times New Roman" w:cs="Times New Roman"/>
          <w:sz w:val="24"/>
          <w:szCs w:val="24"/>
          <w:lang w:val="en-US"/>
        </w:rPr>
        <w:t xml:space="preserve">, 11 December 2024, </w:t>
      </w:r>
      <w:proofErr w:type="spellStart"/>
      <w:r>
        <w:rPr>
          <w:rFonts w:ascii="Times New Roman" w:hAnsi="Times New Roman" w:cs="Times New Roman"/>
          <w:sz w:val="24"/>
          <w:szCs w:val="24"/>
          <w:lang w:val="en-US"/>
        </w:rPr>
        <w:t>disponível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w:t>
      </w:r>
      <w:proofErr w:type="spellEnd"/>
      <w:r w:rsidRPr="005E1465">
        <w:rPr>
          <w:rFonts w:ascii="Times New Roman" w:hAnsi="Times New Roman" w:cs="Times New Roman"/>
          <w:sz w:val="24"/>
          <w:szCs w:val="24"/>
          <w:lang w:val="en-US"/>
        </w:rPr>
        <w:t xml:space="preserve"> </w:t>
      </w:r>
      <w:hyperlink r:id="rId18" w:history="1">
        <w:r w:rsidRPr="00C72371">
          <w:rPr>
            <w:rStyle w:val="Hipervnculo"/>
            <w:rFonts w:ascii="Times New Roman" w:hAnsi="Times New Roman" w:cs="Times New Roman"/>
            <w:sz w:val="24"/>
            <w:szCs w:val="24"/>
            <w:lang w:val="en-US"/>
          </w:rPr>
          <w:t>https://ec.europa.eu/commission/presscorner/detail/en/ip_24_6251</w:t>
        </w:r>
      </w:hyperlink>
    </w:p>
    <w:p w14:paraId="579470BE" w14:textId="2D343DBD" w:rsidR="00166AC8" w:rsidRDefault="00166AC8" w:rsidP="00BD2DDB">
      <w:pPr>
        <w:jc w:val="both"/>
        <w:rPr>
          <w:rFonts w:ascii="Times New Roman" w:hAnsi="Times New Roman" w:cs="Times New Roman"/>
          <w:sz w:val="24"/>
          <w:szCs w:val="24"/>
          <w:lang w:val="en-US"/>
        </w:rPr>
      </w:pPr>
      <w:r w:rsidRPr="00166AC8">
        <w:rPr>
          <w:rFonts w:ascii="Times New Roman" w:hAnsi="Times New Roman" w:cs="Times New Roman"/>
          <w:sz w:val="24"/>
          <w:szCs w:val="24"/>
        </w:rPr>
        <w:t>Conselho da União Europeia</w:t>
      </w:r>
      <w:r w:rsidRPr="009A3AC0">
        <w:rPr>
          <w:rFonts w:ascii="Times New Roman" w:hAnsi="Times New Roman" w:cs="Times New Roman"/>
          <w:sz w:val="24"/>
          <w:szCs w:val="24"/>
        </w:rPr>
        <w:t xml:space="preserve"> </w:t>
      </w:r>
      <w:r w:rsidRPr="00166AC8">
        <w:rPr>
          <w:rFonts w:ascii="Times New Roman" w:hAnsi="Times New Roman" w:cs="Times New Roman"/>
          <w:sz w:val="24"/>
          <w:szCs w:val="24"/>
        </w:rPr>
        <w:t>(2024)</w:t>
      </w:r>
      <w:r w:rsidRPr="009A3AC0">
        <w:rPr>
          <w:rFonts w:ascii="Times New Roman" w:hAnsi="Times New Roman" w:cs="Times New Roman"/>
          <w:sz w:val="24"/>
          <w:szCs w:val="24"/>
        </w:rPr>
        <w:t>,</w:t>
      </w:r>
      <w:r w:rsidRPr="00166AC8">
        <w:rPr>
          <w:rFonts w:ascii="Times New Roman" w:hAnsi="Times New Roman" w:cs="Times New Roman"/>
          <w:sz w:val="24"/>
          <w:szCs w:val="24"/>
        </w:rPr>
        <w:t xml:space="preserve"> </w:t>
      </w:r>
      <w:r w:rsidRPr="00166AC8">
        <w:rPr>
          <w:rFonts w:ascii="Times New Roman" w:hAnsi="Times New Roman" w:cs="Times New Roman"/>
          <w:i/>
          <w:iCs/>
          <w:sz w:val="24"/>
          <w:szCs w:val="24"/>
        </w:rPr>
        <w:t xml:space="preserve">Migration flows: Eastern, Central and Western routes. </w:t>
      </w:r>
      <w:r w:rsidRPr="00166AC8">
        <w:rPr>
          <w:rFonts w:ascii="Times New Roman" w:hAnsi="Times New Roman" w:cs="Times New Roman"/>
          <w:i/>
          <w:iCs/>
          <w:sz w:val="24"/>
          <w:szCs w:val="24"/>
          <w:lang w:val="en-US"/>
        </w:rPr>
        <w:t>Yearly irregular arrivals (2015-2024)</w:t>
      </w:r>
      <w:r w:rsidRPr="00166AC8">
        <w:rPr>
          <w:rFonts w:ascii="Times New Roman" w:hAnsi="Times New Roman" w:cs="Times New Roman"/>
          <w:sz w:val="24"/>
          <w:szCs w:val="24"/>
          <w:lang w:val="en-US"/>
        </w:rPr>
        <w:t xml:space="preserve">, </w:t>
      </w:r>
      <w:proofErr w:type="spellStart"/>
      <w:r w:rsidRPr="00166AC8">
        <w:rPr>
          <w:rFonts w:ascii="Times New Roman" w:hAnsi="Times New Roman" w:cs="Times New Roman"/>
          <w:sz w:val="24"/>
          <w:szCs w:val="24"/>
          <w:lang w:val="en-US"/>
        </w:rPr>
        <w:t>disponível</w:t>
      </w:r>
      <w:proofErr w:type="spellEnd"/>
      <w:r w:rsidRPr="00166AC8">
        <w:rPr>
          <w:rFonts w:ascii="Times New Roman" w:hAnsi="Times New Roman" w:cs="Times New Roman"/>
          <w:sz w:val="24"/>
          <w:szCs w:val="24"/>
          <w:lang w:val="en-US"/>
        </w:rPr>
        <w:t xml:space="preserve"> </w:t>
      </w:r>
      <w:proofErr w:type="spellStart"/>
      <w:r w:rsidRPr="00166AC8">
        <w:rPr>
          <w:rFonts w:ascii="Times New Roman" w:hAnsi="Times New Roman" w:cs="Times New Roman"/>
          <w:sz w:val="24"/>
          <w:szCs w:val="24"/>
          <w:lang w:val="en-US"/>
        </w:rPr>
        <w:t>em</w:t>
      </w:r>
      <w:proofErr w:type="spellEnd"/>
      <w:r w:rsidRPr="00166AC8">
        <w:rPr>
          <w:rFonts w:ascii="Times New Roman" w:hAnsi="Times New Roman" w:cs="Times New Roman"/>
          <w:sz w:val="24"/>
          <w:szCs w:val="24"/>
          <w:lang w:val="en-US"/>
        </w:rPr>
        <w:t xml:space="preserve"> </w:t>
      </w:r>
      <w:hyperlink r:id="rId19" w:history="1">
        <w:r w:rsidRPr="00166AC8">
          <w:rPr>
            <w:rStyle w:val="Hipervnculo"/>
            <w:rFonts w:ascii="Times New Roman" w:hAnsi="Times New Roman" w:cs="Times New Roman"/>
            <w:sz w:val="24"/>
            <w:szCs w:val="24"/>
            <w:lang w:val="en-US"/>
          </w:rPr>
          <w:t>https://www.consilium.europa.eu/en/infographics/migration-flows-to-europe/</w:t>
        </w:r>
      </w:hyperlink>
    </w:p>
    <w:p w14:paraId="557EB361" w14:textId="78B46DAC" w:rsidR="002B2466" w:rsidRPr="002B2466" w:rsidRDefault="002B2466" w:rsidP="00BD2DDB">
      <w:pPr>
        <w:jc w:val="both"/>
        <w:rPr>
          <w:rFonts w:ascii="Times New Roman" w:hAnsi="Times New Roman" w:cs="Times New Roman"/>
          <w:sz w:val="24"/>
          <w:szCs w:val="24"/>
          <w:lang w:val="en-US"/>
        </w:rPr>
      </w:pPr>
      <w:r w:rsidRPr="005C2FC7">
        <w:rPr>
          <w:rFonts w:ascii="Times New Roman" w:hAnsi="Times New Roman" w:cs="Times New Roman"/>
          <w:sz w:val="24"/>
          <w:szCs w:val="24"/>
          <w:lang w:val="en-US"/>
        </w:rPr>
        <w:t>CURIA – Presentation – CJEU: </w:t>
      </w:r>
      <w:hyperlink r:id="rId20" w:history="1">
        <w:r w:rsidRPr="005C2FC7">
          <w:rPr>
            <w:rStyle w:val="Hipervnculo"/>
            <w:rFonts w:ascii="Times New Roman" w:hAnsi="Times New Roman" w:cs="Times New Roman"/>
            <w:sz w:val="24"/>
            <w:szCs w:val="24"/>
            <w:lang w:val="en-US"/>
          </w:rPr>
          <w:t>https://curia.europa.eu/jcms/jcms/Jo2_7024/en/</w:t>
        </w:r>
      </w:hyperlink>
    </w:p>
    <w:p w14:paraId="1EF7B41C" w14:textId="5CC9B008" w:rsidR="00E301FD" w:rsidRPr="00E301FD" w:rsidRDefault="00E301FD" w:rsidP="00E301FD">
      <w:pPr>
        <w:jc w:val="both"/>
        <w:rPr>
          <w:rFonts w:ascii="Times New Roman" w:hAnsi="Times New Roman" w:cs="Times New Roman"/>
          <w:sz w:val="24"/>
          <w:szCs w:val="24"/>
          <w:lang w:val="en-US"/>
        </w:rPr>
      </w:pPr>
      <w:r>
        <w:rPr>
          <w:rFonts w:ascii="Times New Roman" w:hAnsi="Times New Roman" w:cs="Times New Roman"/>
          <w:sz w:val="24"/>
          <w:szCs w:val="24"/>
          <w:lang w:val="en-GB"/>
        </w:rPr>
        <w:t>Politico (2025), “</w:t>
      </w:r>
      <w:r w:rsidRPr="00E301FD">
        <w:rPr>
          <w:rFonts w:ascii="Times New Roman" w:hAnsi="Times New Roman" w:cs="Times New Roman"/>
          <w:sz w:val="24"/>
          <w:szCs w:val="24"/>
          <w:lang w:val="en-GB"/>
        </w:rPr>
        <w:t>Brussels is ‘</w:t>
      </w:r>
      <w:proofErr w:type="spellStart"/>
      <w:r w:rsidRPr="00E301FD">
        <w:rPr>
          <w:rFonts w:ascii="Times New Roman" w:hAnsi="Times New Roman" w:cs="Times New Roman"/>
          <w:sz w:val="24"/>
          <w:szCs w:val="24"/>
          <w:lang w:val="en-GB"/>
        </w:rPr>
        <w:t>honored</w:t>
      </w:r>
      <w:proofErr w:type="spellEnd"/>
      <w:r w:rsidRPr="00E301FD">
        <w:rPr>
          <w:rFonts w:ascii="Times New Roman" w:hAnsi="Times New Roman" w:cs="Times New Roman"/>
          <w:sz w:val="24"/>
          <w:szCs w:val="24"/>
          <w:lang w:val="en-GB"/>
        </w:rPr>
        <w:t>’ Canadians want to join the EU — but says it won’t happen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por</w:t>
      </w:r>
      <w:proofErr w:type="spellEnd"/>
      <w:r>
        <w:rPr>
          <w:rFonts w:ascii="Times New Roman" w:hAnsi="Times New Roman" w:cs="Times New Roman"/>
          <w:sz w:val="24"/>
          <w:szCs w:val="24"/>
          <w:lang w:val="en-GB"/>
        </w:rPr>
        <w:t xml:space="preserve"> </w:t>
      </w:r>
      <w:proofErr w:type="spellStart"/>
      <w:r w:rsidRPr="00E301FD">
        <w:rPr>
          <w:rFonts w:ascii="Times New Roman" w:hAnsi="Times New Roman" w:cs="Times New Roman"/>
          <w:sz w:val="24"/>
          <w:szCs w:val="24"/>
          <w:lang w:val="en-GB"/>
        </w:rPr>
        <w:t>Csongor</w:t>
      </w:r>
      <w:proofErr w:type="spellEnd"/>
      <w:r w:rsidRPr="00E301FD">
        <w:rPr>
          <w:rFonts w:ascii="Times New Roman" w:hAnsi="Times New Roman" w:cs="Times New Roman"/>
          <w:sz w:val="24"/>
          <w:szCs w:val="24"/>
          <w:lang w:val="en-GB"/>
        </w:rPr>
        <w:t xml:space="preserve"> </w:t>
      </w:r>
      <w:proofErr w:type="spellStart"/>
      <w:r w:rsidRPr="00E301FD">
        <w:rPr>
          <w:rFonts w:ascii="Times New Roman" w:hAnsi="Times New Roman" w:cs="Times New Roman"/>
          <w:sz w:val="24"/>
          <w:szCs w:val="24"/>
          <w:lang w:val="en-GB"/>
        </w:rPr>
        <w:t>Körömi</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in </w:t>
      </w:r>
      <w:r>
        <w:rPr>
          <w:rFonts w:ascii="Times New Roman" w:hAnsi="Times New Roman" w:cs="Times New Roman"/>
          <w:sz w:val="24"/>
          <w:szCs w:val="24"/>
          <w:lang w:val="en-GB"/>
        </w:rPr>
        <w:t xml:space="preserve">POLITICO, 12 de </w:t>
      </w:r>
      <w:proofErr w:type="spellStart"/>
      <w:r>
        <w:rPr>
          <w:rFonts w:ascii="Times New Roman" w:hAnsi="Times New Roman" w:cs="Times New Roman"/>
          <w:sz w:val="24"/>
          <w:szCs w:val="24"/>
          <w:lang w:val="en-GB"/>
        </w:rPr>
        <w:t>Março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disponível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em</w:t>
      </w:r>
      <w:proofErr w:type="spellEnd"/>
      <w:r>
        <w:rPr>
          <w:rFonts w:ascii="Times New Roman" w:hAnsi="Times New Roman" w:cs="Times New Roman"/>
          <w:sz w:val="24"/>
          <w:szCs w:val="24"/>
          <w:lang w:val="en-GB"/>
        </w:rPr>
        <w:t xml:space="preserve"> </w:t>
      </w:r>
      <w:hyperlink r:id="rId21" w:history="1">
        <w:r w:rsidRPr="00F809D9">
          <w:rPr>
            <w:rStyle w:val="Hipervnculo"/>
            <w:rFonts w:ascii="Times New Roman" w:hAnsi="Times New Roman" w:cs="Times New Roman"/>
            <w:sz w:val="24"/>
            <w:szCs w:val="24"/>
            <w:lang w:val="en-GB"/>
          </w:rPr>
          <w:t>https://www.politico.eu/article/canadians-want-join-european-union-will-never-happen-paula-pinho/</w:t>
        </w:r>
      </w:hyperlink>
      <w:r>
        <w:rPr>
          <w:rFonts w:ascii="Times New Roman" w:hAnsi="Times New Roman" w:cs="Times New Roman"/>
          <w:sz w:val="24"/>
          <w:szCs w:val="24"/>
          <w:lang w:val="en-GB"/>
        </w:rPr>
        <w:t xml:space="preserve"> </w:t>
      </w:r>
    </w:p>
    <w:p w14:paraId="52BFB10A" w14:textId="77777777" w:rsidR="00E301FD" w:rsidRDefault="00E301FD" w:rsidP="00BD2DDB">
      <w:pPr>
        <w:jc w:val="both"/>
        <w:rPr>
          <w:rFonts w:ascii="Times New Roman" w:hAnsi="Times New Roman" w:cs="Times New Roman"/>
          <w:sz w:val="24"/>
          <w:szCs w:val="24"/>
          <w:lang w:val="en-US"/>
        </w:rPr>
      </w:pPr>
    </w:p>
    <w:p w14:paraId="63304F10" w14:textId="1F312BDD" w:rsidR="00630DC1" w:rsidRPr="005C2FC7" w:rsidRDefault="00630DC1" w:rsidP="00BD2DDB">
      <w:pPr>
        <w:jc w:val="both"/>
        <w:rPr>
          <w:rFonts w:ascii="Times New Roman" w:hAnsi="Times New Roman" w:cs="Times New Roman"/>
          <w:b/>
          <w:bCs/>
          <w:sz w:val="24"/>
          <w:szCs w:val="24"/>
        </w:rPr>
      </w:pPr>
      <w:r w:rsidRPr="005C2FC7">
        <w:rPr>
          <w:rFonts w:ascii="Times New Roman" w:hAnsi="Times New Roman" w:cs="Times New Roman"/>
          <w:b/>
          <w:bCs/>
          <w:sz w:val="24"/>
          <w:szCs w:val="24"/>
        </w:rPr>
        <w:t xml:space="preserve">Jurisprudência </w:t>
      </w:r>
    </w:p>
    <w:p w14:paraId="05384CE1" w14:textId="0D984CC8" w:rsidR="00E2323A" w:rsidRPr="005C2FC7" w:rsidRDefault="00E2323A" w:rsidP="00BD2DDB">
      <w:pPr>
        <w:jc w:val="both"/>
        <w:rPr>
          <w:rFonts w:ascii="Times New Roman" w:hAnsi="Times New Roman" w:cs="Times New Roman"/>
          <w:sz w:val="24"/>
          <w:szCs w:val="24"/>
        </w:rPr>
      </w:pPr>
      <w:r w:rsidRPr="005C2FC7">
        <w:rPr>
          <w:rFonts w:ascii="Times New Roman" w:hAnsi="Times New Roman" w:cs="Times New Roman"/>
          <w:sz w:val="24"/>
          <w:szCs w:val="24"/>
        </w:rPr>
        <w:t>Bundesverfassungsgericht, 1BvR 276/17 (</w:t>
      </w:r>
      <w:r w:rsidRPr="005C2FC7">
        <w:rPr>
          <w:rFonts w:ascii="Times New Roman" w:hAnsi="Times New Roman" w:cs="Times New Roman"/>
          <w:i/>
          <w:iCs/>
          <w:sz w:val="24"/>
          <w:szCs w:val="24"/>
        </w:rPr>
        <w:t>Recht auf Vergessen II</w:t>
      </w:r>
      <w:r w:rsidRPr="005C2FC7">
        <w:rPr>
          <w:rFonts w:ascii="Times New Roman" w:hAnsi="Times New Roman" w:cs="Times New Roman"/>
          <w:sz w:val="24"/>
          <w:szCs w:val="24"/>
        </w:rPr>
        <w:t>)</w:t>
      </w:r>
    </w:p>
    <w:p w14:paraId="4D6C45C0" w14:textId="77777777" w:rsidR="0021327D" w:rsidRPr="005C2FC7" w:rsidRDefault="0021327D" w:rsidP="00BD2DDB">
      <w:pPr>
        <w:jc w:val="both"/>
        <w:rPr>
          <w:rFonts w:ascii="Times New Roman" w:hAnsi="Times New Roman" w:cs="Times New Roman"/>
          <w:i/>
          <w:iCs/>
          <w:sz w:val="24"/>
          <w:szCs w:val="24"/>
        </w:rPr>
      </w:pPr>
    </w:p>
    <w:p w14:paraId="4FD7F779" w14:textId="01D7C34E" w:rsidR="0021327D" w:rsidRPr="0021327D" w:rsidRDefault="0021327D" w:rsidP="00BD2DDB">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TJUE</w:t>
      </w:r>
    </w:p>
    <w:p w14:paraId="3C15E345" w14:textId="03C8F7D2" w:rsidR="00630DC1" w:rsidRDefault="00630DC1" w:rsidP="00BD2DDB">
      <w:pPr>
        <w:jc w:val="both"/>
        <w:rPr>
          <w:rFonts w:ascii="Times New Roman" w:hAnsi="Times New Roman" w:cs="Times New Roman"/>
          <w:sz w:val="24"/>
          <w:szCs w:val="24"/>
          <w:lang w:val="en-US"/>
        </w:rPr>
      </w:pPr>
      <w:r w:rsidRPr="00630DC1">
        <w:rPr>
          <w:rFonts w:ascii="Times New Roman" w:hAnsi="Times New Roman" w:cs="Times New Roman"/>
          <w:sz w:val="24"/>
          <w:szCs w:val="24"/>
          <w:lang w:val="en-US"/>
        </w:rPr>
        <w:t>C-156/21 (</w:t>
      </w:r>
      <w:r w:rsidRPr="00630DC1">
        <w:rPr>
          <w:rFonts w:ascii="Times New Roman" w:hAnsi="Times New Roman" w:cs="Times New Roman"/>
          <w:i/>
          <w:iCs/>
          <w:sz w:val="24"/>
          <w:szCs w:val="24"/>
          <w:lang w:val="en-US"/>
        </w:rPr>
        <w:t>Hungary v. Parliament and Council</w:t>
      </w:r>
      <w:r w:rsidRPr="00630DC1">
        <w:rPr>
          <w:rFonts w:ascii="Times New Roman" w:hAnsi="Times New Roman" w:cs="Times New Roman"/>
          <w:sz w:val="24"/>
          <w:szCs w:val="24"/>
          <w:lang w:val="en-US"/>
        </w:rPr>
        <w:t>) ECLI</w:t>
      </w:r>
      <w:proofErr w:type="gramStart"/>
      <w:r w:rsidRPr="00630DC1">
        <w:rPr>
          <w:rFonts w:ascii="Times New Roman" w:hAnsi="Times New Roman" w:cs="Times New Roman"/>
          <w:sz w:val="24"/>
          <w:szCs w:val="24"/>
          <w:lang w:val="en-US"/>
        </w:rPr>
        <w:t>:EU:C:2022:97</w:t>
      </w:r>
      <w:proofErr w:type="gramEnd"/>
    </w:p>
    <w:p w14:paraId="2B142DA3" w14:textId="015BDC0F" w:rsidR="00630DC1" w:rsidRDefault="00630DC1" w:rsidP="00BD2DDB">
      <w:pPr>
        <w:jc w:val="both"/>
        <w:rPr>
          <w:rFonts w:ascii="Times New Roman" w:hAnsi="Times New Roman" w:cs="Times New Roman"/>
          <w:sz w:val="24"/>
          <w:szCs w:val="24"/>
          <w:lang w:val="en-US"/>
        </w:rPr>
      </w:pPr>
      <w:r w:rsidRPr="00630DC1">
        <w:rPr>
          <w:rFonts w:ascii="Times New Roman" w:hAnsi="Times New Roman" w:cs="Times New Roman"/>
          <w:sz w:val="24"/>
          <w:szCs w:val="24"/>
          <w:lang w:val="en-US"/>
        </w:rPr>
        <w:t>C-157/21 (</w:t>
      </w:r>
      <w:r w:rsidRPr="00630DC1">
        <w:rPr>
          <w:rFonts w:ascii="Times New Roman" w:hAnsi="Times New Roman" w:cs="Times New Roman"/>
          <w:i/>
          <w:iCs/>
          <w:sz w:val="24"/>
          <w:szCs w:val="24"/>
          <w:lang w:val="en-US"/>
        </w:rPr>
        <w:t>Poland v. Parliament and Council</w:t>
      </w:r>
      <w:r w:rsidRPr="00630DC1">
        <w:rPr>
          <w:rFonts w:ascii="Times New Roman" w:hAnsi="Times New Roman" w:cs="Times New Roman"/>
          <w:sz w:val="24"/>
          <w:szCs w:val="24"/>
          <w:lang w:val="en-US"/>
        </w:rPr>
        <w:t>) ECLI</w:t>
      </w:r>
      <w:proofErr w:type="gramStart"/>
      <w:r w:rsidRPr="00630DC1">
        <w:rPr>
          <w:rFonts w:ascii="Times New Roman" w:hAnsi="Times New Roman" w:cs="Times New Roman"/>
          <w:sz w:val="24"/>
          <w:szCs w:val="24"/>
          <w:lang w:val="en-US"/>
        </w:rPr>
        <w:t>:EU:C:2022:98</w:t>
      </w:r>
      <w:proofErr w:type="gramEnd"/>
    </w:p>
    <w:p w14:paraId="7A4F3AAF" w14:textId="77777777" w:rsidR="00E40A92" w:rsidRDefault="00E40A92" w:rsidP="00E40A92">
      <w:pPr>
        <w:jc w:val="both"/>
        <w:rPr>
          <w:rFonts w:ascii="Times New Roman" w:hAnsi="Times New Roman" w:cs="Times New Roman"/>
          <w:sz w:val="24"/>
          <w:szCs w:val="24"/>
        </w:rPr>
      </w:pPr>
      <w:r w:rsidRPr="00E40A92">
        <w:rPr>
          <w:rFonts w:ascii="Times New Roman" w:hAnsi="Times New Roman" w:cs="Times New Roman"/>
          <w:sz w:val="24"/>
          <w:szCs w:val="24"/>
        </w:rPr>
        <w:t>C</w:t>
      </w:r>
      <w:r w:rsidRPr="00E40A92">
        <w:rPr>
          <w:rFonts w:ascii="Times New Roman" w:hAnsi="Times New Roman" w:cs="Times New Roman"/>
          <w:sz w:val="24"/>
          <w:szCs w:val="24"/>
        </w:rPr>
        <w:noBreakHyphen/>
        <w:t>562/21 PPU e C</w:t>
      </w:r>
      <w:r w:rsidRPr="00E40A92">
        <w:rPr>
          <w:rFonts w:ascii="Times New Roman" w:hAnsi="Times New Roman" w:cs="Times New Roman"/>
          <w:sz w:val="24"/>
          <w:szCs w:val="24"/>
        </w:rPr>
        <w:noBreakHyphen/>
        <w:t>563/21 PPU (</w:t>
      </w:r>
      <w:r w:rsidRPr="00E40A92">
        <w:rPr>
          <w:rFonts w:ascii="Times New Roman" w:hAnsi="Times New Roman" w:cs="Times New Roman"/>
          <w:i/>
          <w:iCs/>
          <w:sz w:val="24"/>
          <w:szCs w:val="24"/>
        </w:rPr>
        <w:t>X and Y</w:t>
      </w:r>
      <w:r w:rsidRPr="00E40A92">
        <w:rPr>
          <w:rFonts w:ascii="Times New Roman" w:hAnsi="Times New Roman" w:cs="Times New Roman"/>
          <w:sz w:val="24"/>
          <w:szCs w:val="24"/>
        </w:rPr>
        <w:t>) ECLI:EU:C:2022:100</w:t>
      </w:r>
    </w:p>
    <w:p w14:paraId="3FE72BFC" w14:textId="77777777" w:rsidR="002B078F" w:rsidRPr="002B078F" w:rsidRDefault="002B078F" w:rsidP="002B078F">
      <w:pPr>
        <w:jc w:val="both"/>
        <w:rPr>
          <w:rFonts w:ascii="Times New Roman" w:hAnsi="Times New Roman" w:cs="Times New Roman"/>
          <w:sz w:val="24"/>
          <w:szCs w:val="24"/>
        </w:rPr>
      </w:pPr>
      <w:r w:rsidRPr="002B078F">
        <w:rPr>
          <w:rFonts w:ascii="Times New Roman" w:hAnsi="Times New Roman" w:cs="Times New Roman"/>
          <w:sz w:val="24"/>
          <w:szCs w:val="24"/>
        </w:rPr>
        <w:t>C-699/21 (</w:t>
      </w:r>
      <w:r w:rsidRPr="002B078F">
        <w:rPr>
          <w:rFonts w:ascii="Times New Roman" w:hAnsi="Times New Roman" w:cs="Times New Roman"/>
          <w:i/>
          <w:iCs/>
          <w:sz w:val="24"/>
          <w:szCs w:val="24"/>
        </w:rPr>
        <w:t>E. D. L.</w:t>
      </w:r>
      <w:r w:rsidRPr="002B078F">
        <w:rPr>
          <w:rFonts w:ascii="Times New Roman" w:hAnsi="Times New Roman" w:cs="Times New Roman"/>
          <w:sz w:val="24"/>
          <w:szCs w:val="24"/>
        </w:rPr>
        <w:t>)</w:t>
      </w:r>
      <w:r w:rsidRPr="002B078F">
        <w:rPr>
          <w:rFonts w:ascii="Times New Roman" w:hAnsi="Times New Roman" w:cs="Times New Roman"/>
          <w:i/>
          <w:iCs/>
          <w:sz w:val="24"/>
          <w:szCs w:val="24"/>
        </w:rPr>
        <w:t xml:space="preserve"> </w:t>
      </w:r>
      <w:r w:rsidRPr="002B078F">
        <w:rPr>
          <w:rFonts w:ascii="Times New Roman" w:hAnsi="Times New Roman" w:cs="Times New Roman"/>
          <w:sz w:val="24"/>
          <w:szCs w:val="24"/>
        </w:rPr>
        <w:t>ECLI:EU:C:2023:295</w:t>
      </w:r>
    </w:p>
    <w:p w14:paraId="654A9BFE" w14:textId="180EF5CC" w:rsidR="00E40A92" w:rsidRPr="00E40A92" w:rsidRDefault="00E40A92" w:rsidP="00BD2DDB">
      <w:pPr>
        <w:jc w:val="both"/>
        <w:rPr>
          <w:rFonts w:ascii="Times New Roman" w:hAnsi="Times New Roman" w:cs="Times New Roman"/>
          <w:sz w:val="24"/>
          <w:szCs w:val="24"/>
        </w:rPr>
      </w:pPr>
      <w:r w:rsidRPr="00E40A92">
        <w:rPr>
          <w:rFonts w:ascii="Times New Roman" w:hAnsi="Times New Roman" w:cs="Times New Roman"/>
          <w:sz w:val="24"/>
          <w:szCs w:val="24"/>
        </w:rPr>
        <w:t>C</w:t>
      </w:r>
      <w:r w:rsidRPr="00E40A92">
        <w:rPr>
          <w:rFonts w:ascii="Times New Roman" w:hAnsi="Times New Roman" w:cs="Times New Roman"/>
          <w:sz w:val="24"/>
          <w:szCs w:val="24"/>
        </w:rPr>
        <w:noBreakHyphen/>
        <w:t>354/20 PPU e C</w:t>
      </w:r>
      <w:r w:rsidRPr="00E40A92">
        <w:rPr>
          <w:rFonts w:ascii="Times New Roman" w:hAnsi="Times New Roman" w:cs="Times New Roman"/>
          <w:sz w:val="24"/>
          <w:szCs w:val="24"/>
        </w:rPr>
        <w:noBreakHyphen/>
        <w:t>412/20 PPU (</w:t>
      </w:r>
      <w:r w:rsidRPr="00E40A92">
        <w:rPr>
          <w:rFonts w:ascii="Times New Roman" w:hAnsi="Times New Roman" w:cs="Times New Roman"/>
          <w:i/>
          <w:iCs/>
          <w:sz w:val="24"/>
          <w:szCs w:val="24"/>
        </w:rPr>
        <w:t>L and P</w:t>
      </w:r>
      <w:r w:rsidRPr="00E40A92">
        <w:rPr>
          <w:rFonts w:ascii="Times New Roman" w:hAnsi="Times New Roman" w:cs="Times New Roman"/>
          <w:sz w:val="24"/>
          <w:szCs w:val="24"/>
        </w:rPr>
        <w:t>) ECLI:EU:C:2020:1033</w:t>
      </w:r>
    </w:p>
    <w:p w14:paraId="3CAB11F8" w14:textId="77CDDE71" w:rsidR="0079003B" w:rsidRDefault="0079003B" w:rsidP="00BD2DDB">
      <w:pPr>
        <w:jc w:val="both"/>
        <w:rPr>
          <w:rFonts w:ascii="Times New Roman" w:hAnsi="Times New Roman" w:cs="Times New Roman"/>
          <w:sz w:val="24"/>
          <w:szCs w:val="24"/>
        </w:rPr>
      </w:pPr>
      <w:r w:rsidRPr="0079003B">
        <w:rPr>
          <w:rFonts w:ascii="Times New Roman" w:hAnsi="Times New Roman" w:cs="Times New Roman"/>
          <w:sz w:val="24"/>
          <w:szCs w:val="24"/>
        </w:rPr>
        <w:t>C</w:t>
      </w:r>
      <w:r w:rsidRPr="0079003B">
        <w:rPr>
          <w:rFonts w:ascii="Times New Roman" w:hAnsi="Times New Roman" w:cs="Times New Roman"/>
          <w:sz w:val="24"/>
          <w:szCs w:val="24"/>
        </w:rPr>
        <w:noBreakHyphen/>
        <w:t>561/19 (</w:t>
      </w:r>
      <w:r w:rsidRPr="0079003B">
        <w:rPr>
          <w:rFonts w:ascii="Times New Roman" w:hAnsi="Times New Roman" w:cs="Times New Roman"/>
          <w:i/>
          <w:iCs/>
          <w:sz w:val="24"/>
          <w:szCs w:val="24"/>
        </w:rPr>
        <w:t>Consorzio Italian Management</w:t>
      </w:r>
      <w:r w:rsidRPr="0079003B">
        <w:rPr>
          <w:rFonts w:ascii="Times New Roman" w:hAnsi="Times New Roman" w:cs="Times New Roman"/>
          <w:sz w:val="24"/>
          <w:szCs w:val="24"/>
        </w:rPr>
        <w:t>)</w:t>
      </w:r>
      <w:r w:rsidRPr="0079003B">
        <w:rPr>
          <w:rFonts w:ascii="Times New Roman" w:hAnsi="Times New Roman" w:cs="Times New Roman"/>
          <w:i/>
          <w:iCs/>
          <w:sz w:val="24"/>
          <w:szCs w:val="24"/>
        </w:rPr>
        <w:t xml:space="preserve"> </w:t>
      </w:r>
      <w:r w:rsidRPr="0079003B">
        <w:rPr>
          <w:rFonts w:ascii="Times New Roman" w:hAnsi="Times New Roman" w:cs="Times New Roman"/>
          <w:sz w:val="24"/>
          <w:szCs w:val="24"/>
        </w:rPr>
        <w:t>ECLI:EU:C:2021:799</w:t>
      </w:r>
    </w:p>
    <w:p w14:paraId="147B61A3" w14:textId="2F941305" w:rsidR="00D31CC4" w:rsidRDefault="00D31CC4" w:rsidP="00BD2DDB">
      <w:pPr>
        <w:jc w:val="both"/>
        <w:rPr>
          <w:rFonts w:ascii="Times New Roman" w:hAnsi="Times New Roman" w:cs="Times New Roman"/>
          <w:sz w:val="24"/>
          <w:szCs w:val="24"/>
        </w:rPr>
      </w:pPr>
      <w:r w:rsidRPr="00D31CC4">
        <w:rPr>
          <w:rFonts w:ascii="Times New Roman" w:hAnsi="Times New Roman" w:cs="Times New Roman"/>
          <w:sz w:val="24"/>
          <w:szCs w:val="24"/>
        </w:rPr>
        <w:t>C-128/18 (</w:t>
      </w:r>
      <w:r w:rsidRPr="00D31CC4">
        <w:rPr>
          <w:rFonts w:ascii="Times New Roman" w:hAnsi="Times New Roman" w:cs="Times New Roman"/>
          <w:i/>
          <w:iCs/>
          <w:sz w:val="24"/>
          <w:szCs w:val="24"/>
        </w:rPr>
        <w:t>Dorobantu</w:t>
      </w:r>
      <w:r w:rsidRPr="00D31CC4">
        <w:rPr>
          <w:rFonts w:ascii="Times New Roman" w:hAnsi="Times New Roman" w:cs="Times New Roman"/>
          <w:sz w:val="24"/>
          <w:szCs w:val="24"/>
        </w:rPr>
        <w:t>)</w:t>
      </w:r>
      <w:r w:rsidRPr="00D31CC4">
        <w:rPr>
          <w:rFonts w:ascii="Times New Roman" w:hAnsi="Times New Roman" w:cs="Times New Roman"/>
          <w:i/>
          <w:iCs/>
          <w:sz w:val="24"/>
          <w:szCs w:val="24"/>
        </w:rPr>
        <w:t xml:space="preserve"> </w:t>
      </w:r>
      <w:r w:rsidRPr="00D31CC4">
        <w:rPr>
          <w:rFonts w:ascii="Times New Roman" w:hAnsi="Times New Roman" w:cs="Times New Roman"/>
          <w:sz w:val="24"/>
          <w:szCs w:val="24"/>
        </w:rPr>
        <w:t>ECLI:EU:C:2019:857</w:t>
      </w:r>
    </w:p>
    <w:p w14:paraId="7BE3A13F" w14:textId="4C3C3431" w:rsidR="008031B1" w:rsidRPr="008031B1" w:rsidRDefault="008031B1" w:rsidP="00BD2DDB">
      <w:pPr>
        <w:jc w:val="both"/>
        <w:rPr>
          <w:rFonts w:ascii="Times New Roman" w:hAnsi="Times New Roman" w:cs="Times New Roman"/>
          <w:sz w:val="24"/>
          <w:szCs w:val="24"/>
        </w:rPr>
      </w:pPr>
      <w:r w:rsidRPr="008031B1">
        <w:rPr>
          <w:rFonts w:ascii="Times New Roman" w:hAnsi="Times New Roman" w:cs="Times New Roman"/>
          <w:sz w:val="24"/>
          <w:szCs w:val="24"/>
        </w:rPr>
        <w:t>C</w:t>
      </w:r>
      <w:r w:rsidRPr="008031B1">
        <w:rPr>
          <w:rFonts w:ascii="Times New Roman" w:hAnsi="Times New Roman" w:cs="Times New Roman"/>
          <w:sz w:val="24"/>
          <w:szCs w:val="24"/>
        </w:rPr>
        <w:noBreakHyphen/>
        <w:t>216/18 PPU (</w:t>
      </w:r>
      <w:r w:rsidRPr="008031B1">
        <w:rPr>
          <w:rFonts w:ascii="Times New Roman" w:hAnsi="Times New Roman" w:cs="Times New Roman"/>
          <w:i/>
          <w:iCs/>
          <w:sz w:val="24"/>
          <w:szCs w:val="24"/>
        </w:rPr>
        <w:t>LM</w:t>
      </w:r>
      <w:r w:rsidRPr="008031B1">
        <w:rPr>
          <w:rFonts w:ascii="Times New Roman" w:hAnsi="Times New Roman" w:cs="Times New Roman"/>
          <w:sz w:val="24"/>
          <w:szCs w:val="24"/>
        </w:rPr>
        <w:t>) ECLI:EU:C:2018:586</w:t>
      </w:r>
    </w:p>
    <w:p w14:paraId="75A9930A" w14:textId="77777777" w:rsidR="009203DE" w:rsidRDefault="009203DE" w:rsidP="009203DE">
      <w:pPr>
        <w:jc w:val="both"/>
        <w:rPr>
          <w:rFonts w:ascii="Times New Roman" w:hAnsi="Times New Roman" w:cs="Times New Roman"/>
          <w:sz w:val="24"/>
          <w:szCs w:val="24"/>
        </w:rPr>
      </w:pPr>
      <w:r w:rsidRPr="009203DE">
        <w:rPr>
          <w:rFonts w:ascii="Times New Roman" w:hAnsi="Times New Roman" w:cs="Times New Roman"/>
          <w:sz w:val="24"/>
          <w:szCs w:val="24"/>
        </w:rPr>
        <w:t>C</w:t>
      </w:r>
      <w:r w:rsidRPr="009203DE">
        <w:rPr>
          <w:rFonts w:ascii="Times New Roman" w:hAnsi="Times New Roman" w:cs="Times New Roman"/>
          <w:sz w:val="24"/>
          <w:szCs w:val="24"/>
        </w:rPr>
        <w:noBreakHyphen/>
        <w:t>220/18 PPU (</w:t>
      </w:r>
      <w:r w:rsidRPr="009203DE">
        <w:rPr>
          <w:rFonts w:ascii="Times New Roman" w:hAnsi="Times New Roman" w:cs="Times New Roman"/>
          <w:i/>
          <w:iCs/>
          <w:sz w:val="24"/>
          <w:szCs w:val="24"/>
        </w:rPr>
        <w:t>ML</w:t>
      </w:r>
      <w:r w:rsidRPr="009203DE">
        <w:rPr>
          <w:rFonts w:ascii="Times New Roman" w:hAnsi="Times New Roman" w:cs="Times New Roman"/>
          <w:sz w:val="24"/>
          <w:szCs w:val="24"/>
        </w:rPr>
        <w:t>) ECLI:EU:C:2018:589</w:t>
      </w:r>
    </w:p>
    <w:p w14:paraId="0072F532" w14:textId="70803AA9" w:rsidR="008B646D" w:rsidRPr="009203DE" w:rsidRDefault="008B646D" w:rsidP="009203DE">
      <w:pPr>
        <w:jc w:val="both"/>
        <w:rPr>
          <w:rFonts w:ascii="Times New Roman" w:hAnsi="Times New Roman" w:cs="Times New Roman"/>
          <w:sz w:val="24"/>
          <w:szCs w:val="24"/>
        </w:rPr>
      </w:pPr>
      <w:r w:rsidRPr="008B646D">
        <w:rPr>
          <w:rFonts w:ascii="Times New Roman" w:hAnsi="Times New Roman" w:cs="Times New Roman"/>
          <w:sz w:val="24"/>
          <w:szCs w:val="24"/>
        </w:rPr>
        <w:t>C</w:t>
      </w:r>
      <w:r w:rsidRPr="008B646D">
        <w:rPr>
          <w:rFonts w:ascii="Times New Roman" w:hAnsi="Times New Roman" w:cs="Times New Roman"/>
          <w:sz w:val="24"/>
          <w:szCs w:val="24"/>
        </w:rPr>
        <w:noBreakHyphen/>
        <w:t>327/18 PPU (</w:t>
      </w:r>
      <w:r w:rsidRPr="008B646D">
        <w:rPr>
          <w:rFonts w:ascii="Times New Roman" w:hAnsi="Times New Roman" w:cs="Times New Roman"/>
          <w:i/>
          <w:iCs/>
          <w:sz w:val="24"/>
          <w:szCs w:val="24"/>
        </w:rPr>
        <w:t>RO</w:t>
      </w:r>
      <w:r w:rsidRPr="008B646D">
        <w:rPr>
          <w:rFonts w:ascii="Times New Roman" w:hAnsi="Times New Roman" w:cs="Times New Roman"/>
          <w:sz w:val="24"/>
          <w:szCs w:val="24"/>
        </w:rPr>
        <w:t>) ECLI:EU:C:2018:733</w:t>
      </w:r>
    </w:p>
    <w:p w14:paraId="3BEAA503" w14:textId="1ECBB172" w:rsidR="009203DE" w:rsidRDefault="009203DE" w:rsidP="00BD2DDB">
      <w:pPr>
        <w:jc w:val="both"/>
        <w:rPr>
          <w:rFonts w:ascii="Times New Roman" w:hAnsi="Times New Roman" w:cs="Times New Roman"/>
          <w:sz w:val="24"/>
          <w:szCs w:val="24"/>
        </w:rPr>
      </w:pPr>
      <w:r w:rsidRPr="009203DE">
        <w:rPr>
          <w:rFonts w:ascii="Times New Roman" w:hAnsi="Times New Roman" w:cs="Times New Roman"/>
          <w:sz w:val="24"/>
          <w:szCs w:val="24"/>
        </w:rPr>
        <w:t>C</w:t>
      </w:r>
      <w:r w:rsidRPr="009203DE">
        <w:rPr>
          <w:rFonts w:ascii="Times New Roman" w:hAnsi="Times New Roman" w:cs="Times New Roman"/>
          <w:sz w:val="24"/>
          <w:szCs w:val="24"/>
        </w:rPr>
        <w:noBreakHyphen/>
        <w:t>163/17 (</w:t>
      </w:r>
      <w:r w:rsidRPr="009203DE">
        <w:rPr>
          <w:rFonts w:ascii="Times New Roman" w:hAnsi="Times New Roman" w:cs="Times New Roman"/>
          <w:i/>
          <w:iCs/>
          <w:sz w:val="24"/>
          <w:szCs w:val="24"/>
        </w:rPr>
        <w:t>Jawo</w:t>
      </w:r>
      <w:r w:rsidRPr="009203DE">
        <w:rPr>
          <w:rFonts w:ascii="Times New Roman" w:hAnsi="Times New Roman" w:cs="Times New Roman"/>
          <w:sz w:val="24"/>
          <w:szCs w:val="24"/>
        </w:rPr>
        <w:t>) ECLI:EU:C:2019:218</w:t>
      </w:r>
    </w:p>
    <w:p w14:paraId="65D7DE50" w14:textId="1D985659" w:rsidR="00397219" w:rsidRDefault="00397219" w:rsidP="00BD2DDB">
      <w:pPr>
        <w:jc w:val="both"/>
        <w:rPr>
          <w:rFonts w:ascii="Times New Roman" w:hAnsi="Times New Roman" w:cs="Times New Roman"/>
          <w:sz w:val="24"/>
          <w:szCs w:val="24"/>
        </w:rPr>
      </w:pPr>
      <w:r w:rsidRPr="00397219">
        <w:rPr>
          <w:rFonts w:ascii="Times New Roman" w:hAnsi="Times New Roman" w:cs="Times New Roman"/>
          <w:sz w:val="24"/>
          <w:szCs w:val="24"/>
        </w:rPr>
        <w:t>C-247/17 (</w:t>
      </w:r>
      <w:r w:rsidRPr="00397219">
        <w:rPr>
          <w:rFonts w:ascii="Times New Roman" w:hAnsi="Times New Roman" w:cs="Times New Roman"/>
          <w:i/>
          <w:iCs/>
          <w:sz w:val="24"/>
          <w:szCs w:val="24"/>
        </w:rPr>
        <w:t>Raugevicius</w:t>
      </w:r>
      <w:r w:rsidRPr="00397219">
        <w:rPr>
          <w:rFonts w:ascii="Times New Roman" w:hAnsi="Times New Roman" w:cs="Times New Roman"/>
          <w:sz w:val="24"/>
          <w:szCs w:val="24"/>
        </w:rPr>
        <w:t>) ECLI:EU:C:2018:898</w:t>
      </w:r>
    </w:p>
    <w:p w14:paraId="02E8457C" w14:textId="23BE6523" w:rsidR="0079003B" w:rsidRPr="005C2FC7" w:rsidRDefault="0079003B" w:rsidP="00BD2DDB">
      <w:pPr>
        <w:jc w:val="both"/>
        <w:rPr>
          <w:rFonts w:ascii="Times New Roman" w:hAnsi="Times New Roman" w:cs="Times New Roman"/>
          <w:sz w:val="24"/>
          <w:szCs w:val="24"/>
        </w:rPr>
      </w:pPr>
      <w:r w:rsidRPr="005C2FC7">
        <w:rPr>
          <w:rFonts w:ascii="Times New Roman" w:hAnsi="Times New Roman" w:cs="Times New Roman"/>
          <w:sz w:val="24"/>
          <w:szCs w:val="24"/>
        </w:rPr>
        <w:lastRenderedPageBreak/>
        <w:t>C</w:t>
      </w:r>
      <w:r w:rsidRPr="005C2FC7">
        <w:rPr>
          <w:rFonts w:ascii="Times New Roman" w:hAnsi="Times New Roman" w:cs="Times New Roman"/>
          <w:sz w:val="24"/>
          <w:szCs w:val="24"/>
        </w:rPr>
        <w:noBreakHyphen/>
        <w:t>416/17 (</w:t>
      </w:r>
      <w:r w:rsidRPr="005C2FC7">
        <w:rPr>
          <w:rFonts w:ascii="Times New Roman" w:hAnsi="Times New Roman" w:cs="Times New Roman"/>
          <w:i/>
          <w:iCs/>
          <w:sz w:val="24"/>
          <w:szCs w:val="24"/>
        </w:rPr>
        <w:t>Commission/France</w:t>
      </w:r>
      <w:r w:rsidRPr="005C2FC7">
        <w:rPr>
          <w:rFonts w:ascii="Times New Roman" w:hAnsi="Times New Roman" w:cs="Times New Roman"/>
          <w:sz w:val="24"/>
          <w:szCs w:val="24"/>
        </w:rPr>
        <w:t>)</w:t>
      </w:r>
      <w:r w:rsidRPr="005C2FC7">
        <w:rPr>
          <w:rFonts w:ascii="Times New Roman" w:hAnsi="Times New Roman" w:cs="Times New Roman"/>
          <w:i/>
          <w:iCs/>
          <w:sz w:val="24"/>
          <w:szCs w:val="24"/>
        </w:rPr>
        <w:t xml:space="preserve"> </w:t>
      </w:r>
      <w:r w:rsidRPr="005C2FC7">
        <w:rPr>
          <w:rFonts w:ascii="Times New Roman" w:hAnsi="Times New Roman" w:cs="Times New Roman"/>
          <w:sz w:val="24"/>
          <w:szCs w:val="24"/>
        </w:rPr>
        <w:t>ECLI:EU:C:2018:811</w:t>
      </w:r>
    </w:p>
    <w:p w14:paraId="4617CDEB" w14:textId="2DF17615" w:rsidR="002B078F" w:rsidRDefault="002B078F" w:rsidP="00BD2DDB">
      <w:pPr>
        <w:jc w:val="both"/>
        <w:rPr>
          <w:rFonts w:ascii="Times New Roman" w:hAnsi="Times New Roman" w:cs="Times New Roman"/>
          <w:sz w:val="24"/>
          <w:szCs w:val="24"/>
        </w:rPr>
      </w:pPr>
      <w:r w:rsidRPr="002B078F">
        <w:rPr>
          <w:rFonts w:ascii="Times New Roman" w:hAnsi="Times New Roman" w:cs="Times New Roman"/>
          <w:sz w:val="24"/>
          <w:szCs w:val="24"/>
        </w:rPr>
        <w:t>C-578/16 PPU (</w:t>
      </w:r>
      <w:r w:rsidRPr="002B078F">
        <w:rPr>
          <w:rFonts w:ascii="Times New Roman" w:hAnsi="Times New Roman" w:cs="Times New Roman"/>
          <w:i/>
          <w:iCs/>
          <w:sz w:val="24"/>
          <w:szCs w:val="24"/>
        </w:rPr>
        <w:t>C. K.</w:t>
      </w:r>
      <w:r w:rsidRPr="002B078F">
        <w:rPr>
          <w:rFonts w:ascii="Times New Roman" w:hAnsi="Times New Roman" w:cs="Times New Roman"/>
          <w:sz w:val="24"/>
          <w:szCs w:val="24"/>
        </w:rPr>
        <w:t>)</w:t>
      </w:r>
      <w:r w:rsidRPr="002B078F">
        <w:rPr>
          <w:rFonts w:ascii="Times New Roman" w:hAnsi="Times New Roman" w:cs="Times New Roman"/>
          <w:i/>
          <w:iCs/>
          <w:sz w:val="24"/>
          <w:szCs w:val="24"/>
        </w:rPr>
        <w:t xml:space="preserve"> </w:t>
      </w:r>
      <w:r w:rsidRPr="002B078F">
        <w:rPr>
          <w:rFonts w:ascii="Times New Roman" w:hAnsi="Times New Roman" w:cs="Times New Roman"/>
          <w:sz w:val="24"/>
          <w:szCs w:val="24"/>
        </w:rPr>
        <w:t>ECLI:EU:C:2017:127</w:t>
      </w:r>
    </w:p>
    <w:p w14:paraId="130E6500" w14:textId="2B6EF193" w:rsidR="00646E59" w:rsidRPr="002B078F" w:rsidRDefault="00646E59" w:rsidP="00BD2DDB">
      <w:pPr>
        <w:jc w:val="both"/>
        <w:rPr>
          <w:rFonts w:ascii="Times New Roman" w:hAnsi="Times New Roman" w:cs="Times New Roman"/>
          <w:sz w:val="24"/>
          <w:szCs w:val="24"/>
        </w:rPr>
      </w:pPr>
      <w:r w:rsidRPr="005C2FC7">
        <w:rPr>
          <w:rFonts w:ascii="Times New Roman" w:hAnsi="Times New Roman" w:cs="Times New Roman"/>
          <w:sz w:val="24"/>
          <w:szCs w:val="24"/>
        </w:rPr>
        <w:t>C-182/15 (</w:t>
      </w:r>
      <w:r w:rsidRPr="005C2FC7">
        <w:rPr>
          <w:rFonts w:ascii="Times New Roman" w:hAnsi="Times New Roman" w:cs="Times New Roman"/>
          <w:i/>
          <w:iCs/>
          <w:sz w:val="24"/>
          <w:szCs w:val="24"/>
        </w:rPr>
        <w:t>Petruhhin</w:t>
      </w:r>
      <w:r w:rsidRPr="005C2FC7">
        <w:rPr>
          <w:rFonts w:ascii="Times New Roman" w:hAnsi="Times New Roman" w:cs="Times New Roman"/>
          <w:sz w:val="24"/>
          <w:szCs w:val="24"/>
        </w:rPr>
        <w:t>)</w:t>
      </w:r>
      <w:r w:rsidRPr="005C2FC7">
        <w:rPr>
          <w:rFonts w:ascii="Times New Roman" w:hAnsi="Times New Roman" w:cs="Times New Roman"/>
          <w:i/>
          <w:iCs/>
          <w:sz w:val="24"/>
          <w:szCs w:val="24"/>
        </w:rPr>
        <w:t xml:space="preserve"> </w:t>
      </w:r>
      <w:r w:rsidRPr="005C2FC7">
        <w:rPr>
          <w:rFonts w:ascii="Times New Roman" w:hAnsi="Times New Roman" w:cs="Times New Roman"/>
          <w:sz w:val="24"/>
          <w:szCs w:val="24"/>
        </w:rPr>
        <w:t>ECLI:EU:C:2016:630</w:t>
      </w:r>
    </w:p>
    <w:p w14:paraId="22BA2469" w14:textId="30031FD0" w:rsidR="00893308" w:rsidRDefault="00893308" w:rsidP="00BD2DDB">
      <w:pPr>
        <w:jc w:val="both"/>
        <w:rPr>
          <w:rFonts w:ascii="Times New Roman" w:hAnsi="Times New Roman" w:cs="Times New Roman"/>
          <w:sz w:val="24"/>
          <w:szCs w:val="24"/>
        </w:rPr>
      </w:pPr>
      <w:r w:rsidRPr="00893308">
        <w:rPr>
          <w:rFonts w:ascii="Times New Roman" w:hAnsi="Times New Roman" w:cs="Times New Roman"/>
          <w:sz w:val="24"/>
          <w:szCs w:val="24"/>
        </w:rPr>
        <w:t>C</w:t>
      </w:r>
      <w:r w:rsidRPr="00893308">
        <w:rPr>
          <w:rFonts w:ascii="Times New Roman" w:hAnsi="Times New Roman" w:cs="Times New Roman"/>
          <w:sz w:val="24"/>
          <w:szCs w:val="24"/>
        </w:rPr>
        <w:noBreakHyphen/>
        <w:t>404/15 e C</w:t>
      </w:r>
      <w:r w:rsidRPr="00893308">
        <w:rPr>
          <w:rFonts w:ascii="Times New Roman" w:hAnsi="Times New Roman" w:cs="Times New Roman"/>
          <w:sz w:val="24"/>
          <w:szCs w:val="24"/>
        </w:rPr>
        <w:noBreakHyphen/>
        <w:t>659/15 PPU (</w:t>
      </w:r>
      <w:r w:rsidRPr="00893308">
        <w:rPr>
          <w:rFonts w:ascii="Times New Roman" w:hAnsi="Times New Roman" w:cs="Times New Roman"/>
          <w:i/>
          <w:iCs/>
          <w:sz w:val="24"/>
          <w:szCs w:val="24"/>
        </w:rPr>
        <w:t>Aranyosi and Căldăraru</w:t>
      </w:r>
      <w:r w:rsidRPr="00893308">
        <w:rPr>
          <w:rFonts w:ascii="Times New Roman" w:hAnsi="Times New Roman" w:cs="Times New Roman"/>
          <w:sz w:val="24"/>
          <w:szCs w:val="24"/>
        </w:rPr>
        <w:t>) ECLI:EU:C:2016:198</w:t>
      </w:r>
    </w:p>
    <w:p w14:paraId="30F7073E" w14:textId="0FDD97B0" w:rsidR="0079003B" w:rsidRDefault="0079003B" w:rsidP="00BD2DDB">
      <w:pPr>
        <w:jc w:val="both"/>
        <w:rPr>
          <w:rFonts w:ascii="Times New Roman" w:hAnsi="Times New Roman" w:cs="Times New Roman"/>
          <w:sz w:val="24"/>
          <w:szCs w:val="24"/>
        </w:rPr>
      </w:pPr>
      <w:r w:rsidRPr="0079003B">
        <w:rPr>
          <w:rFonts w:ascii="Times New Roman" w:hAnsi="Times New Roman" w:cs="Times New Roman"/>
          <w:sz w:val="24"/>
          <w:szCs w:val="24"/>
        </w:rPr>
        <w:t>C</w:t>
      </w:r>
      <w:r w:rsidRPr="0079003B">
        <w:rPr>
          <w:rFonts w:ascii="Times New Roman" w:hAnsi="Times New Roman" w:cs="Times New Roman"/>
          <w:sz w:val="24"/>
          <w:szCs w:val="24"/>
        </w:rPr>
        <w:noBreakHyphen/>
        <w:t>160/14 (</w:t>
      </w:r>
      <w:r w:rsidRPr="0079003B">
        <w:rPr>
          <w:rFonts w:ascii="Times New Roman" w:hAnsi="Times New Roman" w:cs="Times New Roman"/>
          <w:i/>
          <w:iCs/>
          <w:sz w:val="24"/>
          <w:szCs w:val="24"/>
        </w:rPr>
        <w:t>Silva e Brito</w:t>
      </w:r>
      <w:r w:rsidRPr="0079003B">
        <w:rPr>
          <w:rFonts w:ascii="Times New Roman" w:hAnsi="Times New Roman" w:cs="Times New Roman"/>
          <w:sz w:val="24"/>
          <w:szCs w:val="24"/>
        </w:rPr>
        <w:t>)</w:t>
      </w:r>
      <w:r w:rsidRPr="0079003B">
        <w:rPr>
          <w:rFonts w:ascii="Times New Roman" w:hAnsi="Times New Roman" w:cs="Times New Roman"/>
          <w:i/>
          <w:iCs/>
          <w:sz w:val="24"/>
          <w:szCs w:val="24"/>
        </w:rPr>
        <w:t xml:space="preserve"> </w:t>
      </w:r>
      <w:r w:rsidRPr="0079003B">
        <w:rPr>
          <w:rFonts w:ascii="Times New Roman" w:hAnsi="Times New Roman" w:cs="Times New Roman"/>
          <w:sz w:val="24"/>
          <w:szCs w:val="24"/>
        </w:rPr>
        <w:t>ECLI:EU:C:2015:565</w:t>
      </w:r>
    </w:p>
    <w:p w14:paraId="333AB46F" w14:textId="446ECF10" w:rsidR="008570BF" w:rsidRPr="008570BF" w:rsidRDefault="008570BF" w:rsidP="00BD2DDB">
      <w:pPr>
        <w:jc w:val="both"/>
        <w:rPr>
          <w:rFonts w:ascii="Times New Roman" w:hAnsi="Times New Roman" w:cs="Times New Roman"/>
          <w:sz w:val="24"/>
          <w:szCs w:val="24"/>
          <w:lang w:val="es-ES"/>
        </w:rPr>
      </w:pPr>
      <w:r w:rsidRPr="008570BF">
        <w:rPr>
          <w:rFonts w:ascii="Times New Roman" w:hAnsi="Times New Roman" w:cs="Times New Roman"/>
          <w:sz w:val="24"/>
          <w:szCs w:val="24"/>
          <w:lang w:val="es-ES"/>
        </w:rPr>
        <w:t xml:space="preserve">C-61/11 PPU </w:t>
      </w:r>
      <w:r>
        <w:rPr>
          <w:rFonts w:ascii="Times New Roman" w:hAnsi="Times New Roman" w:cs="Times New Roman"/>
          <w:sz w:val="24"/>
          <w:szCs w:val="24"/>
          <w:lang w:val="es-ES"/>
        </w:rPr>
        <w:t>(</w:t>
      </w:r>
      <w:r w:rsidRPr="008570BF">
        <w:rPr>
          <w:rFonts w:ascii="Times New Roman" w:hAnsi="Times New Roman" w:cs="Times New Roman"/>
          <w:i/>
          <w:iCs/>
          <w:sz w:val="24"/>
          <w:szCs w:val="24"/>
          <w:lang w:val="es-ES"/>
        </w:rPr>
        <w:t xml:space="preserve">El </w:t>
      </w:r>
      <w:proofErr w:type="spellStart"/>
      <w:r w:rsidRPr="008570BF">
        <w:rPr>
          <w:rFonts w:ascii="Times New Roman" w:hAnsi="Times New Roman" w:cs="Times New Roman"/>
          <w:i/>
          <w:iCs/>
          <w:sz w:val="24"/>
          <w:szCs w:val="24"/>
          <w:lang w:val="es-ES"/>
        </w:rPr>
        <w:t>Dridi</w:t>
      </w:r>
      <w:proofErr w:type="spellEnd"/>
      <w:r>
        <w:rPr>
          <w:rFonts w:ascii="Times New Roman" w:hAnsi="Times New Roman" w:cs="Times New Roman"/>
          <w:sz w:val="24"/>
          <w:szCs w:val="24"/>
          <w:lang w:val="es-ES"/>
        </w:rPr>
        <w:t>)</w:t>
      </w:r>
      <w:r w:rsidRPr="008570BF">
        <w:rPr>
          <w:rFonts w:ascii="Times New Roman" w:hAnsi="Times New Roman" w:cs="Times New Roman"/>
          <w:sz w:val="24"/>
          <w:szCs w:val="24"/>
          <w:lang w:val="es-ES"/>
        </w:rPr>
        <w:t xml:space="preserve"> ECLI:EU:</w:t>
      </w:r>
      <w:proofErr w:type="gramStart"/>
      <w:r w:rsidRPr="008570BF">
        <w:rPr>
          <w:rFonts w:ascii="Times New Roman" w:hAnsi="Times New Roman" w:cs="Times New Roman"/>
          <w:sz w:val="24"/>
          <w:szCs w:val="24"/>
          <w:lang w:val="es-ES"/>
        </w:rPr>
        <w:t>C:2011:268</w:t>
      </w:r>
      <w:proofErr w:type="gramEnd"/>
    </w:p>
    <w:p w14:paraId="0DA9B71E" w14:textId="0B02C5FE" w:rsidR="00D31CC4" w:rsidRPr="00D31CC4" w:rsidRDefault="00D31CC4" w:rsidP="00BD2DDB">
      <w:pPr>
        <w:jc w:val="both"/>
        <w:rPr>
          <w:rFonts w:ascii="Times New Roman" w:hAnsi="Times New Roman" w:cs="Times New Roman"/>
          <w:sz w:val="24"/>
          <w:szCs w:val="24"/>
          <w:lang w:val="en-US"/>
        </w:rPr>
      </w:pPr>
      <w:r w:rsidRPr="00D31CC4">
        <w:rPr>
          <w:rFonts w:ascii="Times New Roman" w:hAnsi="Times New Roman" w:cs="Times New Roman"/>
          <w:sz w:val="24"/>
          <w:szCs w:val="24"/>
          <w:lang w:val="en-US"/>
        </w:rPr>
        <w:t>C-411/10 e C-493/10 (</w:t>
      </w:r>
      <w:r w:rsidRPr="00D31CC4">
        <w:rPr>
          <w:rFonts w:ascii="Times New Roman" w:hAnsi="Times New Roman" w:cs="Times New Roman"/>
          <w:i/>
          <w:iCs/>
          <w:sz w:val="24"/>
          <w:szCs w:val="24"/>
          <w:lang w:val="en-US"/>
        </w:rPr>
        <w:t>N.S. and Others</w:t>
      </w:r>
      <w:r w:rsidRPr="00D31CC4">
        <w:rPr>
          <w:rFonts w:ascii="Times New Roman" w:hAnsi="Times New Roman" w:cs="Times New Roman"/>
          <w:sz w:val="24"/>
          <w:szCs w:val="24"/>
          <w:lang w:val="en-US"/>
        </w:rPr>
        <w:t>)</w:t>
      </w:r>
      <w:r w:rsidRPr="00D31CC4">
        <w:rPr>
          <w:rFonts w:ascii="Times New Roman" w:hAnsi="Times New Roman" w:cs="Times New Roman"/>
          <w:i/>
          <w:iCs/>
          <w:sz w:val="24"/>
          <w:szCs w:val="24"/>
          <w:lang w:val="en-US"/>
        </w:rPr>
        <w:t xml:space="preserve"> </w:t>
      </w:r>
      <w:r w:rsidRPr="00D31CC4">
        <w:rPr>
          <w:rFonts w:ascii="Times New Roman" w:hAnsi="Times New Roman" w:cs="Times New Roman"/>
          <w:sz w:val="24"/>
          <w:szCs w:val="24"/>
          <w:lang w:val="en-US"/>
        </w:rPr>
        <w:t>ECLI</w:t>
      </w:r>
      <w:proofErr w:type="gramStart"/>
      <w:r w:rsidRPr="00D31CC4">
        <w:rPr>
          <w:rFonts w:ascii="Times New Roman" w:hAnsi="Times New Roman" w:cs="Times New Roman"/>
          <w:sz w:val="24"/>
          <w:szCs w:val="24"/>
          <w:lang w:val="en-US"/>
        </w:rPr>
        <w:t>:EU:C:2011:865</w:t>
      </w:r>
      <w:proofErr w:type="gramEnd"/>
    </w:p>
    <w:p w14:paraId="64768EE9" w14:textId="7FEC8D56" w:rsidR="0079003B" w:rsidRPr="0079003B" w:rsidRDefault="0079003B" w:rsidP="00BD2DDB">
      <w:pPr>
        <w:jc w:val="both"/>
        <w:rPr>
          <w:rFonts w:ascii="Times New Roman" w:hAnsi="Times New Roman" w:cs="Times New Roman"/>
          <w:sz w:val="24"/>
          <w:szCs w:val="24"/>
          <w:lang w:val="es-ES"/>
        </w:rPr>
      </w:pPr>
      <w:r w:rsidRPr="0079003B">
        <w:rPr>
          <w:rFonts w:ascii="Times New Roman" w:hAnsi="Times New Roman" w:cs="Times New Roman"/>
          <w:sz w:val="24"/>
          <w:szCs w:val="24"/>
          <w:lang w:val="es-ES"/>
        </w:rPr>
        <w:t>C-173/03 (</w:t>
      </w:r>
      <w:proofErr w:type="spellStart"/>
      <w:r w:rsidRPr="0079003B">
        <w:rPr>
          <w:rFonts w:ascii="Times New Roman" w:hAnsi="Times New Roman" w:cs="Times New Roman"/>
          <w:i/>
          <w:iCs/>
          <w:sz w:val="24"/>
          <w:szCs w:val="24"/>
          <w:lang w:val="es-ES"/>
        </w:rPr>
        <w:t>Traghetti</w:t>
      </w:r>
      <w:proofErr w:type="spellEnd"/>
      <w:r w:rsidRPr="0079003B">
        <w:rPr>
          <w:rFonts w:ascii="Times New Roman" w:hAnsi="Times New Roman" w:cs="Times New Roman"/>
          <w:i/>
          <w:iCs/>
          <w:sz w:val="24"/>
          <w:szCs w:val="24"/>
          <w:lang w:val="es-ES"/>
        </w:rPr>
        <w:t xml:space="preserve"> del </w:t>
      </w:r>
      <w:proofErr w:type="spellStart"/>
      <w:r w:rsidRPr="0079003B">
        <w:rPr>
          <w:rFonts w:ascii="Times New Roman" w:hAnsi="Times New Roman" w:cs="Times New Roman"/>
          <w:i/>
          <w:iCs/>
          <w:sz w:val="24"/>
          <w:szCs w:val="24"/>
          <w:lang w:val="es-ES"/>
        </w:rPr>
        <w:t>Mediterraneo</w:t>
      </w:r>
      <w:proofErr w:type="spellEnd"/>
      <w:r w:rsidRPr="0079003B">
        <w:rPr>
          <w:rFonts w:ascii="Times New Roman" w:hAnsi="Times New Roman" w:cs="Times New Roman"/>
          <w:sz w:val="24"/>
          <w:szCs w:val="24"/>
          <w:lang w:val="es-ES"/>
        </w:rPr>
        <w:t>) ECLI:EU:</w:t>
      </w:r>
      <w:proofErr w:type="gramStart"/>
      <w:r w:rsidRPr="0079003B">
        <w:rPr>
          <w:rFonts w:ascii="Times New Roman" w:hAnsi="Times New Roman" w:cs="Times New Roman"/>
          <w:sz w:val="24"/>
          <w:szCs w:val="24"/>
          <w:lang w:val="es-ES"/>
        </w:rPr>
        <w:t>C:2006:391</w:t>
      </w:r>
      <w:proofErr w:type="gramEnd"/>
    </w:p>
    <w:p w14:paraId="43A456D6" w14:textId="11A43AF5" w:rsidR="0079003B" w:rsidRDefault="0079003B" w:rsidP="00BD2DDB">
      <w:pPr>
        <w:jc w:val="both"/>
        <w:rPr>
          <w:rFonts w:ascii="Times New Roman" w:hAnsi="Times New Roman" w:cs="Times New Roman"/>
          <w:sz w:val="24"/>
          <w:szCs w:val="24"/>
        </w:rPr>
      </w:pPr>
      <w:r w:rsidRPr="0079003B">
        <w:rPr>
          <w:rFonts w:ascii="Times New Roman" w:hAnsi="Times New Roman" w:cs="Times New Roman"/>
          <w:sz w:val="24"/>
          <w:szCs w:val="24"/>
        </w:rPr>
        <w:t>C-495/03 (</w:t>
      </w:r>
      <w:r w:rsidRPr="0079003B">
        <w:rPr>
          <w:rFonts w:ascii="Times New Roman" w:hAnsi="Times New Roman" w:cs="Times New Roman"/>
          <w:i/>
          <w:iCs/>
          <w:sz w:val="24"/>
          <w:szCs w:val="24"/>
        </w:rPr>
        <w:t>Intermodal Transports</w:t>
      </w:r>
      <w:r w:rsidRPr="0079003B">
        <w:rPr>
          <w:rFonts w:ascii="Times New Roman" w:hAnsi="Times New Roman" w:cs="Times New Roman"/>
          <w:sz w:val="24"/>
          <w:szCs w:val="24"/>
        </w:rPr>
        <w:t>)</w:t>
      </w:r>
      <w:r w:rsidRPr="0079003B">
        <w:rPr>
          <w:rFonts w:ascii="Times New Roman" w:hAnsi="Times New Roman" w:cs="Times New Roman"/>
          <w:i/>
          <w:iCs/>
          <w:sz w:val="24"/>
          <w:szCs w:val="24"/>
        </w:rPr>
        <w:t xml:space="preserve"> </w:t>
      </w:r>
      <w:r w:rsidRPr="0079003B">
        <w:rPr>
          <w:rFonts w:ascii="Times New Roman" w:hAnsi="Times New Roman" w:cs="Times New Roman"/>
          <w:sz w:val="24"/>
          <w:szCs w:val="24"/>
        </w:rPr>
        <w:t>ECLI:EU:C:2005:552</w:t>
      </w:r>
    </w:p>
    <w:p w14:paraId="23520FE2" w14:textId="1E380973" w:rsidR="0079003B" w:rsidRDefault="0079003B" w:rsidP="00BD2DDB">
      <w:pPr>
        <w:jc w:val="both"/>
        <w:rPr>
          <w:rFonts w:ascii="Times New Roman" w:hAnsi="Times New Roman" w:cs="Times New Roman"/>
          <w:sz w:val="24"/>
          <w:szCs w:val="24"/>
        </w:rPr>
      </w:pPr>
      <w:r w:rsidRPr="0079003B">
        <w:rPr>
          <w:rFonts w:ascii="Times New Roman" w:hAnsi="Times New Roman" w:cs="Times New Roman"/>
          <w:sz w:val="24"/>
          <w:szCs w:val="24"/>
        </w:rPr>
        <w:t>C-224/01 (</w:t>
      </w:r>
      <w:r w:rsidRPr="0079003B">
        <w:rPr>
          <w:rFonts w:ascii="Times New Roman" w:hAnsi="Times New Roman" w:cs="Times New Roman"/>
          <w:i/>
          <w:iCs/>
          <w:sz w:val="24"/>
          <w:szCs w:val="24"/>
        </w:rPr>
        <w:t>Köbler</w:t>
      </w:r>
      <w:r w:rsidRPr="0079003B">
        <w:rPr>
          <w:rFonts w:ascii="Times New Roman" w:hAnsi="Times New Roman" w:cs="Times New Roman"/>
          <w:sz w:val="24"/>
          <w:szCs w:val="24"/>
        </w:rPr>
        <w:t>)</w:t>
      </w:r>
      <w:r w:rsidRPr="0079003B">
        <w:rPr>
          <w:rFonts w:ascii="Times New Roman" w:hAnsi="Times New Roman" w:cs="Times New Roman"/>
          <w:i/>
          <w:iCs/>
          <w:sz w:val="24"/>
          <w:szCs w:val="24"/>
        </w:rPr>
        <w:t xml:space="preserve"> </w:t>
      </w:r>
      <w:r w:rsidRPr="0079003B">
        <w:rPr>
          <w:rFonts w:ascii="Times New Roman" w:hAnsi="Times New Roman" w:cs="Times New Roman"/>
          <w:sz w:val="24"/>
          <w:szCs w:val="24"/>
        </w:rPr>
        <w:t>ECLI:EU:C:2003:513</w:t>
      </w:r>
    </w:p>
    <w:p w14:paraId="71AF80FB" w14:textId="77777777" w:rsidR="00397219" w:rsidRPr="00397219" w:rsidRDefault="00397219" w:rsidP="00397219">
      <w:pPr>
        <w:jc w:val="both"/>
        <w:rPr>
          <w:rFonts w:ascii="Times New Roman" w:hAnsi="Times New Roman" w:cs="Times New Roman"/>
          <w:sz w:val="24"/>
          <w:szCs w:val="24"/>
        </w:rPr>
      </w:pPr>
      <w:r w:rsidRPr="00397219">
        <w:rPr>
          <w:rFonts w:ascii="Times New Roman" w:hAnsi="Times New Roman" w:cs="Times New Roman"/>
          <w:sz w:val="24"/>
          <w:szCs w:val="24"/>
        </w:rPr>
        <w:t>C-413/99 (</w:t>
      </w:r>
      <w:r w:rsidRPr="00397219">
        <w:rPr>
          <w:rFonts w:ascii="Times New Roman" w:hAnsi="Times New Roman" w:cs="Times New Roman"/>
          <w:i/>
          <w:iCs/>
          <w:sz w:val="24"/>
          <w:szCs w:val="24"/>
        </w:rPr>
        <w:t>Baumbast</w:t>
      </w:r>
      <w:r w:rsidRPr="00397219">
        <w:rPr>
          <w:rFonts w:ascii="Times New Roman" w:hAnsi="Times New Roman" w:cs="Times New Roman"/>
          <w:sz w:val="24"/>
          <w:szCs w:val="24"/>
        </w:rPr>
        <w:t>) ECLI:EU:C:2002:493</w:t>
      </w:r>
    </w:p>
    <w:p w14:paraId="286D5627" w14:textId="0AA6A2DD" w:rsidR="004F3F2A" w:rsidRPr="009203DE" w:rsidRDefault="004F3F2A" w:rsidP="00BD2DDB">
      <w:pPr>
        <w:jc w:val="both"/>
        <w:rPr>
          <w:rFonts w:ascii="Times New Roman" w:hAnsi="Times New Roman" w:cs="Times New Roman"/>
          <w:sz w:val="24"/>
          <w:szCs w:val="24"/>
        </w:rPr>
      </w:pPr>
      <w:r w:rsidRPr="004F3F2A">
        <w:rPr>
          <w:rFonts w:ascii="Times New Roman" w:hAnsi="Times New Roman" w:cs="Times New Roman"/>
          <w:sz w:val="24"/>
          <w:szCs w:val="24"/>
        </w:rPr>
        <w:t>C-25/62 (</w:t>
      </w:r>
      <w:r w:rsidRPr="004F3F2A">
        <w:rPr>
          <w:rFonts w:ascii="Times New Roman" w:hAnsi="Times New Roman" w:cs="Times New Roman"/>
          <w:i/>
          <w:iCs/>
          <w:sz w:val="24"/>
          <w:szCs w:val="24"/>
        </w:rPr>
        <w:t>Plaumann</w:t>
      </w:r>
      <w:r w:rsidRPr="004F3F2A">
        <w:rPr>
          <w:rFonts w:ascii="Times New Roman" w:hAnsi="Times New Roman" w:cs="Times New Roman"/>
          <w:sz w:val="24"/>
          <w:szCs w:val="24"/>
        </w:rPr>
        <w:t>) ECLI:EU:C:1963:17</w:t>
      </w:r>
    </w:p>
    <w:p w14:paraId="0BBFE080" w14:textId="32E8B700" w:rsidR="00AF1789" w:rsidRDefault="00AF1789" w:rsidP="00BD2DDB">
      <w:pPr>
        <w:jc w:val="both"/>
        <w:rPr>
          <w:rFonts w:ascii="Times New Roman" w:hAnsi="Times New Roman" w:cs="Times New Roman"/>
          <w:sz w:val="24"/>
          <w:szCs w:val="24"/>
          <w:lang w:val="en-GB"/>
        </w:rPr>
      </w:pPr>
      <w:r w:rsidRPr="00AF1789">
        <w:rPr>
          <w:rFonts w:ascii="Times New Roman" w:hAnsi="Times New Roman" w:cs="Times New Roman"/>
          <w:sz w:val="24"/>
          <w:szCs w:val="24"/>
          <w:lang w:val="en-GB"/>
        </w:rPr>
        <w:t>Opinion 2/13 (</w:t>
      </w:r>
      <w:r w:rsidRPr="00AF1789">
        <w:rPr>
          <w:rFonts w:ascii="Times New Roman" w:hAnsi="Times New Roman" w:cs="Times New Roman"/>
          <w:i/>
          <w:iCs/>
          <w:sz w:val="24"/>
          <w:szCs w:val="24"/>
          <w:lang w:val="en-GB"/>
        </w:rPr>
        <w:t>Accession of the European Union to the ECHR</w:t>
      </w:r>
      <w:r w:rsidRPr="00AF1789">
        <w:rPr>
          <w:rFonts w:ascii="Times New Roman" w:hAnsi="Times New Roman" w:cs="Times New Roman"/>
          <w:sz w:val="24"/>
          <w:szCs w:val="24"/>
          <w:lang w:val="en-GB"/>
        </w:rPr>
        <w:t>) ECLI</w:t>
      </w:r>
      <w:proofErr w:type="gramStart"/>
      <w:r w:rsidRPr="00AF1789">
        <w:rPr>
          <w:rFonts w:ascii="Times New Roman" w:hAnsi="Times New Roman" w:cs="Times New Roman"/>
          <w:sz w:val="24"/>
          <w:szCs w:val="24"/>
          <w:lang w:val="en-GB"/>
        </w:rPr>
        <w:t>:EU:C:2014:2454</w:t>
      </w:r>
      <w:proofErr w:type="gramEnd"/>
    </w:p>
    <w:p w14:paraId="2307F82F" w14:textId="77777777" w:rsidR="0021327D" w:rsidRPr="002560FB" w:rsidRDefault="0021327D" w:rsidP="0079003B">
      <w:pPr>
        <w:jc w:val="both"/>
        <w:rPr>
          <w:rFonts w:ascii="Times New Roman" w:hAnsi="Times New Roman" w:cs="Times New Roman"/>
          <w:i/>
          <w:iCs/>
          <w:sz w:val="24"/>
          <w:szCs w:val="24"/>
          <w:lang w:val="en-US"/>
        </w:rPr>
      </w:pPr>
    </w:p>
    <w:p w14:paraId="66615FB5" w14:textId="7B41B69F" w:rsidR="0021327D" w:rsidRPr="0021327D" w:rsidRDefault="0021327D" w:rsidP="0079003B">
      <w:pPr>
        <w:jc w:val="both"/>
        <w:rPr>
          <w:rFonts w:ascii="Times New Roman" w:hAnsi="Times New Roman" w:cs="Times New Roman"/>
          <w:i/>
          <w:iCs/>
          <w:sz w:val="24"/>
          <w:szCs w:val="24"/>
        </w:rPr>
      </w:pPr>
      <w:r>
        <w:rPr>
          <w:rFonts w:ascii="Times New Roman" w:hAnsi="Times New Roman" w:cs="Times New Roman"/>
          <w:i/>
          <w:iCs/>
          <w:sz w:val="24"/>
          <w:szCs w:val="24"/>
        </w:rPr>
        <w:t>TEDH</w:t>
      </w:r>
    </w:p>
    <w:p w14:paraId="37F5FAE2" w14:textId="272C37B2" w:rsidR="0079003B" w:rsidRDefault="0079003B" w:rsidP="0079003B">
      <w:pPr>
        <w:jc w:val="both"/>
        <w:rPr>
          <w:rFonts w:ascii="Times New Roman" w:hAnsi="Times New Roman" w:cs="Times New Roman"/>
          <w:sz w:val="24"/>
          <w:szCs w:val="24"/>
        </w:rPr>
      </w:pPr>
      <w:r w:rsidRPr="0079003B">
        <w:rPr>
          <w:rFonts w:ascii="Times New Roman" w:hAnsi="Times New Roman" w:cs="Times New Roman"/>
          <w:i/>
          <w:iCs/>
          <w:sz w:val="24"/>
          <w:szCs w:val="24"/>
        </w:rPr>
        <w:t xml:space="preserve">Schipani et Autres c. Italie </w:t>
      </w:r>
      <w:r w:rsidRPr="0079003B">
        <w:rPr>
          <w:rFonts w:ascii="Times New Roman" w:hAnsi="Times New Roman" w:cs="Times New Roman"/>
          <w:sz w:val="24"/>
          <w:szCs w:val="24"/>
        </w:rPr>
        <w:t>(nº 38369/09)</w:t>
      </w:r>
    </w:p>
    <w:p w14:paraId="725E5DD2" w14:textId="77777777" w:rsidR="0079003B" w:rsidRDefault="0079003B" w:rsidP="0079003B">
      <w:pPr>
        <w:jc w:val="both"/>
        <w:rPr>
          <w:rFonts w:ascii="Times New Roman" w:hAnsi="Times New Roman" w:cs="Times New Roman"/>
          <w:sz w:val="24"/>
          <w:szCs w:val="24"/>
        </w:rPr>
      </w:pPr>
      <w:r w:rsidRPr="0079003B">
        <w:rPr>
          <w:rFonts w:ascii="Times New Roman" w:hAnsi="Times New Roman" w:cs="Times New Roman"/>
          <w:i/>
          <w:iCs/>
          <w:sz w:val="24"/>
          <w:szCs w:val="24"/>
        </w:rPr>
        <w:t>Dhahbi v. Italy</w:t>
      </w:r>
      <w:r w:rsidRPr="0079003B">
        <w:rPr>
          <w:rFonts w:ascii="Times New Roman" w:hAnsi="Times New Roman" w:cs="Times New Roman"/>
          <w:sz w:val="24"/>
          <w:szCs w:val="24"/>
        </w:rPr>
        <w:t xml:space="preserve"> (nº 17120/09)</w:t>
      </w:r>
    </w:p>
    <w:p w14:paraId="413E4683" w14:textId="77777777" w:rsidR="0079003B" w:rsidRDefault="0079003B" w:rsidP="0079003B">
      <w:pPr>
        <w:jc w:val="both"/>
        <w:rPr>
          <w:rFonts w:ascii="Times New Roman" w:hAnsi="Times New Roman" w:cs="Times New Roman"/>
          <w:sz w:val="24"/>
          <w:szCs w:val="24"/>
        </w:rPr>
      </w:pPr>
      <w:r w:rsidRPr="0079003B">
        <w:rPr>
          <w:rFonts w:ascii="Times New Roman" w:hAnsi="Times New Roman" w:cs="Times New Roman"/>
          <w:i/>
          <w:iCs/>
          <w:sz w:val="24"/>
          <w:szCs w:val="24"/>
        </w:rPr>
        <w:t xml:space="preserve">Sanofi Pasteur v. France </w:t>
      </w:r>
      <w:r w:rsidRPr="0079003B">
        <w:rPr>
          <w:rFonts w:ascii="Times New Roman" w:hAnsi="Times New Roman" w:cs="Times New Roman"/>
          <w:sz w:val="24"/>
          <w:szCs w:val="24"/>
        </w:rPr>
        <w:t>(nº 25137/16)</w:t>
      </w:r>
    </w:p>
    <w:p w14:paraId="02A65CAC" w14:textId="34A2CCBE" w:rsidR="0079003B" w:rsidRPr="0079003B" w:rsidRDefault="00C00978" w:rsidP="00BD2DDB">
      <w:pPr>
        <w:jc w:val="both"/>
        <w:rPr>
          <w:rFonts w:ascii="Times New Roman" w:hAnsi="Times New Roman" w:cs="Times New Roman"/>
          <w:sz w:val="24"/>
          <w:szCs w:val="24"/>
        </w:rPr>
      </w:pPr>
      <w:r w:rsidRPr="00C00978">
        <w:rPr>
          <w:rFonts w:ascii="Times New Roman" w:hAnsi="Times New Roman" w:cs="Times New Roman"/>
          <w:i/>
          <w:iCs/>
          <w:sz w:val="24"/>
          <w:szCs w:val="24"/>
        </w:rPr>
        <w:t xml:space="preserve">Liu v. Poland </w:t>
      </w:r>
      <w:r w:rsidRPr="00C00978">
        <w:rPr>
          <w:rFonts w:ascii="Times New Roman" w:hAnsi="Times New Roman" w:cs="Times New Roman"/>
          <w:sz w:val="24"/>
          <w:szCs w:val="24"/>
        </w:rPr>
        <w:t>(nº 37610/18)</w:t>
      </w:r>
    </w:p>
    <w:p w14:paraId="0B6C5872" w14:textId="77777777" w:rsidR="00E40A92" w:rsidRDefault="00E40A92" w:rsidP="00BD2DDB">
      <w:pPr>
        <w:jc w:val="both"/>
        <w:rPr>
          <w:rFonts w:ascii="Times New Roman" w:hAnsi="Times New Roman" w:cs="Times New Roman"/>
          <w:sz w:val="24"/>
          <w:szCs w:val="24"/>
          <w:lang w:val="en-US"/>
        </w:rPr>
      </w:pPr>
    </w:p>
    <w:p w14:paraId="0EE007D4" w14:textId="77777777" w:rsidR="008570BF" w:rsidRPr="008570BF" w:rsidRDefault="008570BF" w:rsidP="00BD2DDB">
      <w:pPr>
        <w:jc w:val="both"/>
        <w:rPr>
          <w:rFonts w:ascii="Times New Roman" w:hAnsi="Times New Roman" w:cs="Times New Roman"/>
          <w:sz w:val="24"/>
          <w:szCs w:val="24"/>
          <w:lang w:val="es-ES"/>
        </w:rPr>
      </w:pPr>
    </w:p>
    <w:sectPr w:rsidR="008570BF" w:rsidRPr="008570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B6668" w14:textId="77777777" w:rsidR="00166017" w:rsidRDefault="00166017" w:rsidP="00195BC6">
      <w:pPr>
        <w:spacing w:after="0" w:line="240" w:lineRule="auto"/>
      </w:pPr>
      <w:r>
        <w:separator/>
      </w:r>
    </w:p>
  </w:endnote>
  <w:endnote w:type="continuationSeparator" w:id="0">
    <w:p w14:paraId="0A0BC5D8" w14:textId="77777777" w:rsidR="00166017" w:rsidRDefault="00166017" w:rsidP="0019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D548" w14:textId="77777777" w:rsidR="00166017" w:rsidRDefault="00166017" w:rsidP="00195BC6">
      <w:pPr>
        <w:spacing w:after="0" w:line="240" w:lineRule="auto"/>
      </w:pPr>
      <w:r>
        <w:separator/>
      </w:r>
    </w:p>
  </w:footnote>
  <w:footnote w:type="continuationSeparator" w:id="0">
    <w:p w14:paraId="6609D345" w14:textId="77777777" w:rsidR="00166017" w:rsidRDefault="00166017" w:rsidP="00195BC6">
      <w:pPr>
        <w:spacing w:after="0" w:line="240" w:lineRule="auto"/>
      </w:pPr>
      <w:r>
        <w:continuationSeparator/>
      </w:r>
    </w:p>
  </w:footnote>
  <w:footnote w:id="1">
    <w:p w14:paraId="1E17676A" w14:textId="02467078" w:rsidR="00195BC6" w:rsidRDefault="00195BC6" w:rsidP="00195BC6">
      <w:pPr>
        <w:pStyle w:val="Textonotapie"/>
        <w:jc w:val="both"/>
        <w:rPr>
          <w:rFonts w:ascii="Times New Roman" w:hAnsi="Times New Roman" w:cs="Times New Roman"/>
        </w:rPr>
      </w:pPr>
      <w:r>
        <w:rPr>
          <w:rStyle w:val="Refdenotaalpie"/>
        </w:rPr>
        <w:t>*</w:t>
      </w:r>
      <w:r>
        <w:t xml:space="preserve"> </w:t>
      </w:r>
      <w:r>
        <w:rPr>
          <w:rFonts w:ascii="Times New Roman" w:hAnsi="Times New Roman" w:cs="Times New Roman"/>
        </w:rPr>
        <w:t xml:space="preserve">Professora </w:t>
      </w:r>
      <w:r w:rsidR="00B35936">
        <w:rPr>
          <w:rFonts w:ascii="Times New Roman" w:hAnsi="Times New Roman" w:cs="Times New Roman"/>
        </w:rPr>
        <w:t>A</w:t>
      </w:r>
      <w:r>
        <w:rPr>
          <w:rFonts w:ascii="Times New Roman" w:hAnsi="Times New Roman" w:cs="Times New Roman"/>
        </w:rPr>
        <w:t>uxiliar na Faculdade de Direito da Universidade Lusíada</w:t>
      </w:r>
      <w:r w:rsidR="00B35936">
        <w:rPr>
          <w:rFonts w:ascii="Times New Roman" w:hAnsi="Times New Roman" w:cs="Times New Roman"/>
        </w:rPr>
        <w:t>; investigadora integrada no CEJEIA.</w:t>
      </w:r>
    </w:p>
    <w:p w14:paraId="7162F10E" w14:textId="2FC70B0B" w:rsidR="003F57DB" w:rsidRPr="00376B74" w:rsidRDefault="003F57DB" w:rsidP="0051178B">
      <w:pPr>
        <w:pStyle w:val="Textonotapie"/>
        <w:jc w:val="both"/>
        <w:rPr>
          <w:rFonts w:ascii="Times New Roman" w:hAnsi="Times New Roman" w:cs="Times New Roman"/>
        </w:rPr>
      </w:pPr>
      <w:r w:rsidRPr="00376B74">
        <w:rPr>
          <w:rFonts w:ascii="Times New Roman" w:hAnsi="Times New Roman" w:cs="Times New Roman"/>
        </w:rPr>
        <w:t xml:space="preserve">Este artigo </w:t>
      </w:r>
      <w:r w:rsidR="00376B74" w:rsidRPr="00376B74">
        <w:rPr>
          <w:rFonts w:ascii="Times New Roman" w:hAnsi="Times New Roman" w:cs="Times New Roman"/>
        </w:rPr>
        <w:t>adop</w:t>
      </w:r>
      <w:r w:rsidR="00376B74">
        <w:rPr>
          <w:rFonts w:ascii="Times New Roman" w:hAnsi="Times New Roman" w:cs="Times New Roman"/>
        </w:rPr>
        <w:t>ta como ponto de partida o</w:t>
      </w:r>
      <w:r w:rsidR="0051178B" w:rsidRPr="00376B74">
        <w:rPr>
          <w:rFonts w:ascii="Times New Roman" w:hAnsi="Times New Roman" w:cs="Times New Roman"/>
        </w:rPr>
        <w:t xml:space="preserve"> artigo “The European Constitutional Identity as mirror and reflection of national constitutional identities – concessions, limits and trust within the EU”, publicado </w:t>
      </w:r>
      <w:r w:rsidR="00CD2962" w:rsidRPr="00376B74">
        <w:rPr>
          <w:rFonts w:ascii="Times New Roman" w:hAnsi="Times New Roman" w:cs="Times New Roman"/>
        </w:rPr>
        <w:t>em</w:t>
      </w:r>
      <w:r w:rsidR="0051178B" w:rsidRPr="00376B74">
        <w:rPr>
          <w:rFonts w:ascii="Times New Roman" w:hAnsi="Times New Roman" w:cs="Times New Roman"/>
        </w:rPr>
        <w:t xml:space="preserve"> Revue des Affaires Européennes 2023/4 (Mai 2024)</w:t>
      </w:r>
      <w:r w:rsidR="00CD2962" w:rsidRPr="00376B74">
        <w:rPr>
          <w:rFonts w:ascii="Times New Roman" w:hAnsi="Times New Roman" w:cs="Times New Roman"/>
        </w:rPr>
        <w:t xml:space="preserve">, </w:t>
      </w:r>
      <w:r w:rsidR="00376B74">
        <w:rPr>
          <w:rFonts w:ascii="Times New Roman" w:hAnsi="Times New Roman" w:cs="Times New Roman"/>
        </w:rPr>
        <w:t>reiterando as principais ideias do mesmo, actualizando-as, expandindo-as e delas retirando outras conclusões.</w:t>
      </w:r>
    </w:p>
  </w:footnote>
  <w:footnote w:id="2">
    <w:p w14:paraId="3E08E02A" w14:textId="15543CED" w:rsidR="00BA0FD1" w:rsidRPr="00BA0FD1" w:rsidRDefault="00BA0FD1" w:rsidP="00BA0FD1">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Michel </w:t>
      </w:r>
      <w:r>
        <w:rPr>
          <w:rFonts w:ascii="Times New Roman" w:hAnsi="Times New Roman" w:cs="Times New Roman"/>
        </w:rPr>
        <w:t>Rosenfeld (2012), p. 757</w:t>
      </w:r>
      <w:r w:rsidR="00691DA2">
        <w:rPr>
          <w:rFonts w:ascii="Times New Roman" w:hAnsi="Times New Roman" w:cs="Times New Roman"/>
        </w:rPr>
        <w:t xml:space="preserve"> – nomeadamente, varia em relação ao conjunto de normas que a Constituição contém, a relação entre a Constituição e a cultura em que se insere, a relação entre a Constituição e outras identidades, entre outras. </w:t>
      </w:r>
    </w:p>
  </w:footnote>
  <w:footnote w:id="3">
    <w:p w14:paraId="5E2B2BE6" w14:textId="42BE9456" w:rsidR="00D817C2" w:rsidRPr="00A81146" w:rsidRDefault="00D817C2" w:rsidP="00A81146">
      <w:pPr>
        <w:pStyle w:val="Textonotapie"/>
        <w:jc w:val="both"/>
        <w:rPr>
          <w:rFonts w:ascii="Times New Roman" w:hAnsi="Times New Roman" w:cs="Times New Roman"/>
          <w:lang w:val="en-US"/>
        </w:rPr>
      </w:pPr>
      <w:r>
        <w:rPr>
          <w:rStyle w:val="Refdenotaalpie"/>
        </w:rPr>
        <w:footnoteRef/>
      </w:r>
      <w:r w:rsidRPr="00A81146">
        <w:rPr>
          <w:lang w:val="en-US"/>
        </w:rPr>
        <w:t xml:space="preserve"> </w:t>
      </w:r>
      <w:r w:rsidR="00A81146" w:rsidRPr="00A81146">
        <w:rPr>
          <w:rFonts w:ascii="Times New Roman" w:hAnsi="Times New Roman" w:cs="Times New Roman"/>
          <w:lang w:val="en-US"/>
        </w:rPr>
        <w:t xml:space="preserve">Gerhard van Der </w:t>
      </w:r>
      <w:proofErr w:type="spellStart"/>
      <w:r w:rsidR="00A81146" w:rsidRPr="00A81146">
        <w:rPr>
          <w:rFonts w:ascii="Times New Roman" w:hAnsi="Times New Roman" w:cs="Times New Roman"/>
          <w:lang w:val="en-US"/>
        </w:rPr>
        <w:t>Schyff</w:t>
      </w:r>
      <w:proofErr w:type="spellEnd"/>
      <w:r w:rsidR="00A81146" w:rsidRPr="00A81146">
        <w:rPr>
          <w:rFonts w:ascii="Times New Roman" w:hAnsi="Times New Roman" w:cs="Times New Roman"/>
          <w:lang w:val="en-US"/>
        </w:rPr>
        <w:t xml:space="preserve"> (2016), p</w:t>
      </w:r>
      <w:r w:rsidR="00A81146">
        <w:rPr>
          <w:rFonts w:ascii="Times New Roman" w:hAnsi="Times New Roman" w:cs="Times New Roman"/>
          <w:lang w:val="en-US"/>
        </w:rPr>
        <w:t xml:space="preserve">. 227. </w:t>
      </w:r>
    </w:p>
  </w:footnote>
  <w:footnote w:id="4">
    <w:p w14:paraId="160FEFC3" w14:textId="09A59F05" w:rsidR="00D817C2" w:rsidRPr="00556E75" w:rsidRDefault="00D817C2">
      <w:pPr>
        <w:pStyle w:val="Textonotapie"/>
        <w:rPr>
          <w:rFonts w:ascii="Times New Roman" w:hAnsi="Times New Roman" w:cs="Times New Roman"/>
        </w:rPr>
      </w:pPr>
      <w:r>
        <w:rPr>
          <w:rStyle w:val="Refdenotaalpie"/>
        </w:rPr>
        <w:footnoteRef/>
      </w:r>
      <w:r w:rsidRPr="00556E75">
        <w:t xml:space="preserve"> </w:t>
      </w:r>
      <w:r w:rsidR="00A81146" w:rsidRPr="00556E75">
        <w:rPr>
          <w:rFonts w:ascii="Times New Roman" w:hAnsi="Times New Roman" w:cs="Times New Roman"/>
        </w:rPr>
        <w:t>Michel Rosenfeld (2012), p. 759.</w:t>
      </w:r>
    </w:p>
  </w:footnote>
  <w:footnote w:id="5">
    <w:p w14:paraId="3F71C32A" w14:textId="55B2143F" w:rsidR="008C3628" w:rsidRPr="00FC28D2" w:rsidRDefault="008C3628" w:rsidP="00FC28D2">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Na verdade, esse foi o método utilizado para primeiro identificar </w:t>
      </w:r>
      <w:r w:rsidR="00FC28D2">
        <w:rPr>
          <w:rFonts w:ascii="Times New Roman" w:hAnsi="Times New Roman" w:cs="Times New Roman"/>
        </w:rPr>
        <w:t xml:space="preserve">o núcleo constitucional essencial da UE (caso do Tribunal de Justiça da União Europeia – </w:t>
      </w:r>
      <w:r w:rsidR="00FC28D2">
        <w:rPr>
          <w:rFonts w:ascii="Times New Roman" w:hAnsi="Times New Roman" w:cs="Times New Roman"/>
        </w:rPr>
        <w:t xml:space="preserve">TJUE – C-4/73, </w:t>
      </w:r>
      <w:r w:rsidR="00FC28D2">
        <w:rPr>
          <w:rFonts w:ascii="Times New Roman" w:hAnsi="Times New Roman" w:cs="Times New Roman"/>
          <w:i/>
          <w:iCs/>
        </w:rPr>
        <w:t>Nold</w:t>
      </w:r>
      <w:r w:rsidR="00FC28D2" w:rsidRPr="00FC28D2">
        <w:rPr>
          <w:rFonts w:ascii="Times New Roman" w:hAnsi="Times New Roman" w:cs="Times New Roman"/>
        </w:rPr>
        <w:t>, § 13</w:t>
      </w:r>
      <w:r w:rsidR="00C9188A">
        <w:rPr>
          <w:rFonts w:ascii="Times New Roman" w:hAnsi="Times New Roman" w:cs="Times New Roman"/>
        </w:rPr>
        <w:t>)</w:t>
      </w:r>
      <w:r w:rsidR="00E45210">
        <w:rPr>
          <w:rFonts w:ascii="Times New Roman" w:hAnsi="Times New Roman" w:cs="Times New Roman"/>
        </w:rPr>
        <w:t xml:space="preserve">: construir, a partir de concepções comuns dos vários EM, a identidade constitucional com a qual os cidadãos europeus se pudessem identificar e reconhecer como válida. </w:t>
      </w:r>
    </w:p>
  </w:footnote>
  <w:footnote w:id="6">
    <w:p w14:paraId="144A524C" w14:textId="0E676C7A" w:rsidR="0019051F" w:rsidRDefault="0019051F">
      <w:pPr>
        <w:pStyle w:val="Textonotapie"/>
      </w:pPr>
      <w:r>
        <w:rPr>
          <w:rStyle w:val="Refdenotaalpie"/>
        </w:rPr>
        <w:footnoteRef/>
      </w:r>
      <w:r>
        <w:t xml:space="preserve"> </w:t>
      </w:r>
      <w:r>
        <w:rPr>
          <w:rFonts w:ascii="Times New Roman" w:hAnsi="Times New Roman" w:cs="Times New Roman"/>
        </w:rPr>
        <w:t xml:space="preserve">Michel </w:t>
      </w:r>
      <w:r>
        <w:rPr>
          <w:rFonts w:ascii="Times New Roman" w:hAnsi="Times New Roman" w:cs="Times New Roman"/>
        </w:rPr>
        <w:t xml:space="preserve">Rosenfeld (2005), p. 317 ss. </w:t>
      </w:r>
    </w:p>
  </w:footnote>
  <w:footnote w:id="7">
    <w:p w14:paraId="1339C74B" w14:textId="2BBFA61B" w:rsidR="00BA269B" w:rsidRPr="00D54592" w:rsidRDefault="00BA269B" w:rsidP="00BA269B">
      <w:pPr>
        <w:pStyle w:val="Textonotapie"/>
        <w:jc w:val="both"/>
        <w:rPr>
          <w:rFonts w:ascii="Times New Roman" w:hAnsi="Times New Roman" w:cs="Times New Roman"/>
        </w:rPr>
      </w:pPr>
      <w:r>
        <w:rPr>
          <w:rStyle w:val="Refdenotaalpie"/>
        </w:rPr>
        <w:footnoteRef/>
      </w:r>
      <w:r>
        <w:t xml:space="preserve"> </w:t>
      </w:r>
      <w:r w:rsidR="00D54592">
        <w:rPr>
          <w:rFonts w:ascii="Times New Roman" w:hAnsi="Times New Roman" w:cs="Times New Roman"/>
        </w:rPr>
        <w:t xml:space="preserve">Como a sua origem comum, valores fundamentais, ou a diferenciação da América </w:t>
      </w:r>
      <w:r w:rsidR="00D54592">
        <w:rPr>
          <w:rFonts w:ascii="Times New Roman" w:hAnsi="Times New Roman" w:cs="Times New Roman"/>
        </w:rPr>
        <w:t xml:space="preserve">– Armin von Bogdandy (2005), p. 299. </w:t>
      </w:r>
    </w:p>
  </w:footnote>
  <w:footnote w:id="8">
    <w:p w14:paraId="36C78A83" w14:textId="6E326814" w:rsidR="00900CA9" w:rsidRDefault="00900CA9">
      <w:pPr>
        <w:pStyle w:val="Textonotapie"/>
      </w:pPr>
      <w:r>
        <w:rPr>
          <w:rStyle w:val="Refdenotaalpie"/>
        </w:rPr>
        <w:footnoteRef/>
      </w:r>
      <w:r>
        <w:t xml:space="preserve"> </w:t>
      </w:r>
      <w:r w:rsidRPr="005C2FC7">
        <w:rPr>
          <w:rFonts w:ascii="Times New Roman" w:hAnsi="Times New Roman" w:cs="Times New Roman"/>
        </w:rPr>
        <w:t>Giuseppe</w:t>
      </w:r>
      <w:r w:rsidRPr="005C2FC7">
        <w:rPr>
          <w:rFonts w:ascii="Times New Roman" w:hAnsi="Times New Roman" w:cs="Times New Roman"/>
          <w:smallCaps/>
        </w:rPr>
        <w:t xml:space="preserve"> </w:t>
      </w:r>
      <w:r w:rsidRPr="005C2FC7">
        <w:rPr>
          <w:rFonts w:ascii="Times New Roman" w:hAnsi="Times New Roman" w:cs="Times New Roman"/>
        </w:rPr>
        <w:t xml:space="preserve">Martinico </w:t>
      </w:r>
      <w:r w:rsidR="00283E9A">
        <w:rPr>
          <w:rFonts w:ascii="Times New Roman" w:hAnsi="Times New Roman" w:cs="Times New Roman"/>
        </w:rPr>
        <w:t>(</w:t>
      </w:r>
      <w:r w:rsidRPr="005C2FC7">
        <w:rPr>
          <w:rFonts w:ascii="Times New Roman" w:hAnsi="Times New Roman" w:cs="Times New Roman"/>
        </w:rPr>
        <w:t>2007</w:t>
      </w:r>
      <w:r w:rsidR="00283E9A">
        <w:rPr>
          <w:rFonts w:ascii="Times New Roman" w:hAnsi="Times New Roman" w:cs="Times New Roman"/>
        </w:rPr>
        <w:t>)</w:t>
      </w:r>
      <w:r w:rsidRPr="005C2FC7">
        <w:rPr>
          <w:rFonts w:ascii="Times New Roman" w:hAnsi="Times New Roman" w:cs="Times New Roman"/>
        </w:rPr>
        <w:t>.</w:t>
      </w:r>
    </w:p>
  </w:footnote>
  <w:footnote w:id="9">
    <w:p w14:paraId="42057AC0" w14:textId="0B064BB7" w:rsidR="00B87655" w:rsidRPr="00B87655" w:rsidRDefault="00B87655" w:rsidP="00B87655">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O que implica que esse sinalagma possa também ter consequências negativas, se se influenciarem mutuamente num sentido inverso ao até agora adoptado para definir a identidade constitucional dos EM e da UE. </w:t>
      </w:r>
      <w:r w:rsidR="00DE5926">
        <w:rPr>
          <w:rFonts w:ascii="Times New Roman" w:hAnsi="Times New Roman" w:cs="Times New Roman"/>
        </w:rPr>
        <w:t xml:space="preserve">Poder-se-ia argumentar que sempre existiria o limite (pelo </w:t>
      </w:r>
      <w:r w:rsidR="00DE5926">
        <w:rPr>
          <w:rFonts w:ascii="Times New Roman" w:hAnsi="Times New Roman" w:cs="Times New Roman"/>
        </w:rPr>
        <w:t>menos formal) do art. 2º; mas o que o “Estado de Direito” e a “democracia” significam pode vir a variar exponencialmente, se esses valores não forem convenientemente defendidos.</w:t>
      </w:r>
    </w:p>
  </w:footnote>
  <w:footnote w:id="10">
    <w:p w14:paraId="757B3E6F" w14:textId="5AFA4523" w:rsidR="00C32490" w:rsidRPr="00C32490" w:rsidRDefault="00C32490" w:rsidP="00C32490">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Parece ser claro que</w:t>
      </w:r>
      <w:r w:rsidR="00DF4320">
        <w:rPr>
          <w:rFonts w:ascii="Times New Roman" w:hAnsi="Times New Roman" w:cs="Times New Roman"/>
        </w:rPr>
        <w:t xml:space="preserve"> a utilização da palavra</w:t>
      </w:r>
      <w:r>
        <w:rPr>
          <w:rFonts w:ascii="Times New Roman" w:hAnsi="Times New Roman" w:cs="Times New Roman"/>
        </w:rPr>
        <w:t xml:space="preserve"> “europeus” não pretende significar </w:t>
      </w:r>
      <w:r w:rsidR="00BC6571">
        <w:rPr>
          <w:rFonts w:ascii="Times New Roman" w:hAnsi="Times New Roman" w:cs="Times New Roman"/>
        </w:rPr>
        <w:t>(apenas) a</w:t>
      </w:r>
      <w:r>
        <w:rPr>
          <w:rFonts w:ascii="Times New Roman" w:hAnsi="Times New Roman" w:cs="Times New Roman"/>
        </w:rPr>
        <w:t xml:space="preserve"> localização geográfica dos Estados candidatos: se antes existia apenas a candidatura da Turquia </w:t>
      </w:r>
      <w:r w:rsidR="00BC6571">
        <w:rPr>
          <w:rFonts w:ascii="Times New Roman" w:hAnsi="Times New Roman" w:cs="Times New Roman"/>
        </w:rPr>
        <w:t xml:space="preserve">e a adesão do Chipre </w:t>
      </w:r>
      <w:r>
        <w:rPr>
          <w:rFonts w:ascii="Times New Roman" w:hAnsi="Times New Roman" w:cs="Times New Roman"/>
        </w:rPr>
        <w:t xml:space="preserve">como indicação, recentemente colocou-se a questão de saber se o Canadá </w:t>
      </w:r>
      <w:r w:rsidR="00BC6571">
        <w:rPr>
          <w:rFonts w:ascii="Times New Roman" w:hAnsi="Times New Roman" w:cs="Times New Roman"/>
        </w:rPr>
        <w:t xml:space="preserve">poderia, querendo, pertencer à UE. </w:t>
      </w:r>
      <w:r w:rsidR="00E301FD">
        <w:rPr>
          <w:rFonts w:ascii="Times New Roman" w:hAnsi="Times New Roman" w:cs="Times New Roman"/>
        </w:rPr>
        <w:t>Apesar de tal ideia ter sido afastada por Bruxelas (Politico, 2025)</w:t>
      </w:r>
      <w:r w:rsidR="007B3056">
        <w:rPr>
          <w:rFonts w:ascii="Times New Roman" w:hAnsi="Times New Roman" w:cs="Times New Roman"/>
        </w:rPr>
        <w:t>, a caracterização de um Estado como “europeu” depende de um conjunto de factores, combinando elementos históricos, culturais e de proximidade geográfica, de acordo com a Comissão Europeia (1992), que sublinha que o que tal conceito significa está sujeito a revisão “a cada geração” (p. 11).</w:t>
      </w:r>
    </w:p>
  </w:footnote>
  <w:footnote w:id="11">
    <w:p w14:paraId="43B33162" w14:textId="4E3B35FE" w:rsidR="00E9056C" w:rsidRPr="00E9056C" w:rsidRDefault="00E9056C" w:rsidP="00E9056C">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Isso significa que serão materialmente avaliadas as condições existentes nos Estados Membros antes da acessão à UE, não bastando uma qualquer declaração formal no que concerne à adopção de um sistema interno </w:t>
      </w:r>
      <w:r>
        <w:rPr>
          <w:rFonts w:ascii="Times New Roman" w:hAnsi="Times New Roman" w:cs="Times New Roman"/>
        </w:rPr>
        <w:t xml:space="preserve">democrático – assim, </w:t>
      </w:r>
      <w:r w:rsidRPr="00E9056C">
        <w:rPr>
          <w:rFonts w:ascii="Times New Roman" w:hAnsi="Times New Roman" w:cs="Times New Roman"/>
          <w:bCs/>
        </w:rPr>
        <w:t>Luis María</w:t>
      </w:r>
      <w:r w:rsidRPr="00E9056C">
        <w:rPr>
          <w:rFonts w:ascii="Times New Roman" w:hAnsi="Times New Roman" w:cs="Times New Roman"/>
          <w:bCs/>
          <w:smallCaps/>
        </w:rPr>
        <w:t xml:space="preserve"> </w:t>
      </w:r>
      <w:r w:rsidRPr="00E9056C">
        <w:rPr>
          <w:rFonts w:ascii="Times New Roman" w:hAnsi="Times New Roman" w:cs="Times New Roman"/>
          <w:bCs/>
        </w:rPr>
        <w:t xml:space="preserve">Díez-Picazo </w:t>
      </w:r>
      <w:r>
        <w:rPr>
          <w:rFonts w:ascii="Times New Roman" w:hAnsi="Times New Roman" w:cs="Times New Roman"/>
          <w:bCs/>
        </w:rPr>
        <w:t>(</w:t>
      </w:r>
      <w:r w:rsidRPr="00E9056C">
        <w:rPr>
          <w:rFonts w:ascii="Times New Roman" w:hAnsi="Times New Roman" w:cs="Times New Roman"/>
          <w:bCs/>
        </w:rPr>
        <w:t>2008</w:t>
      </w:r>
      <w:r>
        <w:rPr>
          <w:rFonts w:ascii="Times New Roman" w:hAnsi="Times New Roman" w:cs="Times New Roman"/>
          <w:bCs/>
        </w:rPr>
        <w:t>)</w:t>
      </w:r>
      <w:r w:rsidRPr="00E9056C">
        <w:rPr>
          <w:rFonts w:ascii="Times New Roman" w:hAnsi="Times New Roman" w:cs="Times New Roman"/>
          <w:bCs/>
        </w:rPr>
        <w:t xml:space="preserve">, p. 39; Leposava Ognjanoska </w:t>
      </w:r>
      <w:r>
        <w:rPr>
          <w:rFonts w:ascii="Times New Roman" w:hAnsi="Times New Roman" w:cs="Times New Roman"/>
          <w:bCs/>
        </w:rPr>
        <w:t>(</w:t>
      </w:r>
      <w:r w:rsidRPr="00E9056C">
        <w:rPr>
          <w:rFonts w:ascii="Times New Roman" w:hAnsi="Times New Roman" w:cs="Times New Roman"/>
          <w:bCs/>
        </w:rPr>
        <w:t>2021</w:t>
      </w:r>
      <w:r>
        <w:rPr>
          <w:rFonts w:ascii="Times New Roman" w:hAnsi="Times New Roman" w:cs="Times New Roman"/>
          <w:bCs/>
        </w:rPr>
        <w:t xml:space="preserve">). </w:t>
      </w:r>
    </w:p>
  </w:footnote>
  <w:footnote w:id="12">
    <w:p w14:paraId="020E3AAB" w14:textId="311A6D6F" w:rsidR="000C1B52" w:rsidRPr="000C1B52" w:rsidRDefault="000C1B52">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Sobre a distinção, </w:t>
      </w:r>
      <w:r w:rsidRPr="000C1B52">
        <w:rPr>
          <w:rFonts w:ascii="Times New Roman" w:hAnsi="Times New Roman" w:cs="Times New Roman"/>
        </w:rPr>
        <w:t>Pedro</w:t>
      </w:r>
      <w:r w:rsidRPr="000C1B52">
        <w:rPr>
          <w:rFonts w:ascii="Times New Roman" w:hAnsi="Times New Roman" w:cs="Times New Roman"/>
          <w:smallCaps/>
        </w:rPr>
        <w:t xml:space="preserve"> </w:t>
      </w:r>
      <w:r w:rsidRPr="000C1B52">
        <w:rPr>
          <w:rFonts w:ascii="Times New Roman" w:hAnsi="Times New Roman" w:cs="Times New Roman"/>
        </w:rPr>
        <w:t xml:space="preserve">Caeiro </w:t>
      </w:r>
      <w:r>
        <w:rPr>
          <w:rFonts w:ascii="Times New Roman" w:hAnsi="Times New Roman" w:cs="Times New Roman"/>
        </w:rPr>
        <w:t>(</w:t>
      </w:r>
      <w:r w:rsidRPr="000C1B52">
        <w:rPr>
          <w:rFonts w:ascii="Times New Roman" w:hAnsi="Times New Roman" w:cs="Times New Roman"/>
        </w:rPr>
        <w:t>2022</w:t>
      </w:r>
      <w:r w:rsidR="00573C3B">
        <w:rPr>
          <w:rFonts w:ascii="Times New Roman" w:hAnsi="Times New Roman" w:cs="Times New Roman"/>
        </w:rPr>
        <w:t>a</w:t>
      </w:r>
      <w:r>
        <w:rPr>
          <w:rFonts w:ascii="Times New Roman" w:hAnsi="Times New Roman" w:cs="Times New Roman"/>
        </w:rPr>
        <w:t>).</w:t>
      </w:r>
    </w:p>
  </w:footnote>
  <w:footnote w:id="13">
    <w:p w14:paraId="0E1AA44E" w14:textId="030B7A08" w:rsidR="00D32F4A" w:rsidRPr="00D32F4A" w:rsidRDefault="00D32F4A" w:rsidP="00D32F4A">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Existe ainda uma clara ligação entre o orçamento da UE e </w:t>
      </w:r>
      <w:r>
        <w:rPr>
          <w:rFonts w:ascii="Times New Roman" w:hAnsi="Times New Roman" w:cs="Times New Roman"/>
        </w:rPr>
        <w:t xml:space="preserve">os valores do art. 2º TUE, que é demonstrada pela conclusão a que chegou o TJUE nos casos </w:t>
      </w:r>
      <w:bookmarkStart w:id="1" w:name="_Hlk125365029"/>
      <w:r w:rsidRPr="00D32F4A">
        <w:rPr>
          <w:rFonts w:ascii="Times New Roman" w:hAnsi="Times New Roman" w:cs="Times New Roman"/>
        </w:rPr>
        <w:t>C-156/21 (</w:t>
      </w:r>
      <w:r w:rsidRPr="00D32F4A">
        <w:rPr>
          <w:rFonts w:ascii="Times New Roman" w:hAnsi="Times New Roman" w:cs="Times New Roman"/>
          <w:i/>
          <w:iCs/>
        </w:rPr>
        <w:t>Hungary v. Parliament and Council</w:t>
      </w:r>
      <w:r w:rsidRPr="00D32F4A">
        <w:rPr>
          <w:rFonts w:ascii="Times New Roman" w:hAnsi="Times New Roman" w:cs="Times New Roman"/>
        </w:rPr>
        <w:t xml:space="preserve">), </w:t>
      </w:r>
      <w:r>
        <w:rPr>
          <w:rFonts w:ascii="Times New Roman" w:hAnsi="Times New Roman" w:cs="Times New Roman"/>
        </w:rPr>
        <w:t>e</w:t>
      </w:r>
      <w:r w:rsidRPr="00D32F4A">
        <w:rPr>
          <w:rFonts w:ascii="Times New Roman" w:hAnsi="Times New Roman" w:cs="Times New Roman"/>
        </w:rPr>
        <w:t xml:space="preserve"> C-157/21 (</w:t>
      </w:r>
      <w:r w:rsidRPr="00D32F4A">
        <w:rPr>
          <w:rFonts w:ascii="Times New Roman" w:hAnsi="Times New Roman" w:cs="Times New Roman"/>
          <w:i/>
          <w:iCs/>
        </w:rPr>
        <w:t>Poland v. Parliament and Council</w:t>
      </w:r>
      <w:r w:rsidRPr="00D32F4A">
        <w:rPr>
          <w:rFonts w:ascii="Times New Roman" w:hAnsi="Times New Roman" w:cs="Times New Roman"/>
        </w:rPr>
        <w:t>)</w:t>
      </w:r>
      <w:bookmarkEnd w:id="1"/>
      <w:r w:rsidR="00D807B9">
        <w:rPr>
          <w:rFonts w:ascii="Times New Roman" w:hAnsi="Times New Roman" w:cs="Times New Roman"/>
        </w:rPr>
        <w:t xml:space="preserve"> </w:t>
      </w:r>
      <w:r>
        <w:rPr>
          <w:rFonts w:ascii="Times New Roman" w:hAnsi="Times New Roman" w:cs="Times New Roman"/>
        </w:rPr>
        <w:t>– aqui, concluiu o Tribunal que os fundos europeus poderiam ser retidos no caso de violação grave</w:t>
      </w:r>
      <w:r w:rsidR="00E62D30">
        <w:rPr>
          <w:rFonts w:ascii="Times New Roman" w:hAnsi="Times New Roman" w:cs="Times New Roman"/>
        </w:rPr>
        <w:t xml:space="preserve"> (e persistente)</w:t>
      </w:r>
      <w:r>
        <w:rPr>
          <w:rFonts w:ascii="Times New Roman" w:hAnsi="Times New Roman" w:cs="Times New Roman"/>
        </w:rPr>
        <w:t xml:space="preserve"> dos valores do art. 2º TUE por parte de um EM. </w:t>
      </w:r>
    </w:p>
  </w:footnote>
  <w:footnote w:id="14">
    <w:p w14:paraId="154742A4" w14:textId="67326ED3" w:rsidR="007C33F9" w:rsidRPr="007C33F9" w:rsidRDefault="007C33F9">
      <w:pPr>
        <w:pStyle w:val="Textonotapie"/>
        <w:rPr>
          <w:rFonts w:ascii="Times New Roman" w:hAnsi="Times New Roman" w:cs="Times New Roman"/>
        </w:rPr>
      </w:pPr>
      <w:r>
        <w:rPr>
          <w:rStyle w:val="Refdenotaalpie"/>
        </w:rPr>
        <w:footnoteRef/>
      </w:r>
      <w:r>
        <w:t xml:space="preserve"> </w:t>
      </w:r>
      <w:r w:rsidRPr="005C2FC7">
        <w:rPr>
          <w:rFonts w:ascii="Times New Roman" w:hAnsi="Times New Roman" w:cs="Times New Roman"/>
        </w:rPr>
        <w:t>Gráinne</w:t>
      </w:r>
      <w:r w:rsidRPr="005C2FC7">
        <w:rPr>
          <w:rFonts w:ascii="Times New Roman" w:hAnsi="Times New Roman" w:cs="Times New Roman"/>
          <w:smallCaps/>
        </w:rPr>
        <w:t xml:space="preserve"> </w:t>
      </w:r>
      <w:r w:rsidRPr="005C2FC7">
        <w:rPr>
          <w:rFonts w:ascii="Times New Roman" w:hAnsi="Times New Roman" w:cs="Times New Roman"/>
        </w:rPr>
        <w:t>de Búrca</w:t>
      </w:r>
      <w:r w:rsidRPr="005C2FC7">
        <w:rPr>
          <w:rFonts w:ascii="Times New Roman" w:hAnsi="Times New Roman" w:cs="Times New Roman"/>
          <w:smallCaps/>
        </w:rPr>
        <w:t xml:space="preserve"> (</w:t>
      </w:r>
      <w:r w:rsidRPr="005C2FC7">
        <w:rPr>
          <w:rFonts w:ascii="Times New Roman" w:hAnsi="Times New Roman" w:cs="Times New Roman"/>
        </w:rPr>
        <w:t xml:space="preserve">2022). </w:t>
      </w:r>
    </w:p>
  </w:footnote>
  <w:footnote w:id="15">
    <w:p w14:paraId="4DADEE33" w14:textId="0CE49FDB" w:rsidR="0055551E" w:rsidRPr="0055551E" w:rsidRDefault="0055551E" w:rsidP="0055551E">
      <w:pPr>
        <w:pStyle w:val="Textonotapie"/>
        <w:jc w:val="both"/>
      </w:pPr>
      <w:r>
        <w:rPr>
          <w:rStyle w:val="Refdenotaalpie"/>
        </w:rPr>
        <w:footnoteRef/>
      </w:r>
      <w:r w:rsidRPr="005C2FC7">
        <w:t xml:space="preserve"> </w:t>
      </w:r>
      <w:r w:rsidRPr="005C2FC7">
        <w:rPr>
          <w:rFonts w:ascii="Times New Roman" w:hAnsi="Times New Roman" w:cs="Times New Roman"/>
        </w:rPr>
        <w:t>Denis</w:t>
      </w:r>
      <w:r w:rsidRPr="005C2FC7">
        <w:rPr>
          <w:rFonts w:ascii="Times New Roman" w:hAnsi="Times New Roman" w:cs="Times New Roman"/>
          <w:smallCaps/>
        </w:rPr>
        <w:t xml:space="preserve"> </w:t>
      </w:r>
      <w:r w:rsidRPr="005C2FC7">
        <w:rPr>
          <w:rFonts w:ascii="Times New Roman" w:hAnsi="Times New Roman" w:cs="Times New Roman"/>
        </w:rPr>
        <w:t xml:space="preserve">Preshova (2012), p. 268 ss; Mary Dobbs (2014), p. 300. </w:t>
      </w:r>
      <w:r w:rsidRPr="0055551E">
        <w:rPr>
          <w:rFonts w:ascii="Times New Roman" w:hAnsi="Times New Roman" w:cs="Times New Roman"/>
        </w:rPr>
        <w:t>Isso significaria que a UE d</w:t>
      </w:r>
      <w:r>
        <w:rPr>
          <w:rFonts w:ascii="Times New Roman" w:hAnsi="Times New Roman" w:cs="Times New Roman"/>
        </w:rPr>
        <w:t xml:space="preserve">everia ainda, na sua acção, não infringir os valores essenciais componentes da identidade constitucional nacional de cada EM. Por outro lado, se tal disposição for lida em conjunto com o art. 2º TUE, essa limitação deixaria de existir quando (ou se) a identidade nacional levasse a uma interpretação oposta a um desses valores. </w:t>
      </w:r>
    </w:p>
  </w:footnote>
  <w:footnote w:id="16">
    <w:p w14:paraId="7569963D" w14:textId="3627C341" w:rsidR="00F81FD0" w:rsidRPr="00F81FD0" w:rsidRDefault="00F81FD0">
      <w:pPr>
        <w:pStyle w:val="Textonotapie"/>
        <w:rPr>
          <w:rFonts w:ascii="Times New Roman" w:hAnsi="Times New Roman" w:cs="Times New Roman"/>
          <w:lang w:val="en-US"/>
        </w:rPr>
      </w:pPr>
      <w:r>
        <w:rPr>
          <w:rStyle w:val="Refdenotaalpie"/>
        </w:rPr>
        <w:footnoteRef/>
      </w:r>
      <w:r w:rsidRPr="00F81FD0">
        <w:rPr>
          <w:lang w:val="en-US"/>
        </w:rPr>
        <w:t xml:space="preserve"> </w:t>
      </w:r>
      <w:r w:rsidRPr="00F81FD0">
        <w:rPr>
          <w:rFonts w:ascii="Times New Roman" w:hAnsi="Times New Roman" w:cs="Times New Roman"/>
          <w:lang w:val="en-US"/>
        </w:rPr>
        <w:t xml:space="preserve">V. </w:t>
      </w:r>
      <w:r w:rsidRPr="002638DC">
        <w:rPr>
          <w:rFonts w:ascii="Times New Roman" w:hAnsi="Times New Roman" w:cs="Times New Roman"/>
          <w:lang w:val="en-GB"/>
        </w:rPr>
        <w:t>Denis</w:t>
      </w:r>
      <w:r w:rsidRPr="002638DC">
        <w:rPr>
          <w:rFonts w:ascii="Times New Roman" w:hAnsi="Times New Roman" w:cs="Times New Roman"/>
          <w:smallCaps/>
          <w:lang w:val="en-GB"/>
        </w:rPr>
        <w:t xml:space="preserve"> </w:t>
      </w:r>
      <w:proofErr w:type="spellStart"/>
      <w:r w:rsidRPr="0055551E">
        <w:rPr>
          <w:rFonts w:ascii="Times New Roman" w:hAnsi="Times New Roman" w:cs="Times New Roman"/>
          <w:lang w:val="en-GB"/>
        </w:rPr>
        <w:t>Preshova</w:t>
      </w:r>
      <w:proofErr w:type="spellEnd"/>
      <w:r w:rsidRPr="002638DC">
        <w:rPr>
          <w:rFonts w:ascii="Times New Roman" w:hAnsi="Times New Roman" w:cs="Times New Roman"/>
          <w:lang w:val="en-GB"/>
        </w:rPr>
        <w:t xml:space="preserve"> </w:t>
      </w:r>
      <w:r>
        <w:rPr>
          <w:rFonts w:ascii="Times New Roman" w:hAnsi="Times New Roman" w:cs="Times New Roman"/>
          <w:lang w:val="en-GB"/>
        </w:rPr>
        <w:t>(</w:t>
      </w:r>
      <w:r w:rsidRPr="002638DC">
        <w:rPr>
          <w:rFonts w:ascii="Times New Roman" w:hAnsi="Times New Roman" w:cs="Times New Roman"/>
          <w:lang w:val="en-GB"/>
        </w:rPr>
        <w:t>2012</w:t>
      </w:r>
      <w:r>
        <w:rPr>
          <w:rFonts w:ascii="Times New Roman" w:hAnsi="Times New Roman" w:cs="Times New Roman"/>
          <w:lang w:val="en-GB"/>
        </w:rPr>
        <w:t>)</w:t>
      </w:r>
      <w:r w:rsidRPr="002638DC">
        <w:rPr>
          <w:rFonts w:ascii="Times New Roman" w:hAnsi="Times New Roman" w:cs="Times New Roman"/>
          <w:lang w:val="en-GB"/>
        </w:rPr>
        <w:t>, p.</w:t>
      </w:r>
      <w:r>
        <w:rPr>
          <w:rFonts w:ascii="Times New Roman" w:hAnsi="Times New Roman" w:cs="Times New Roman"/>
          <w:lang w:val="en-GB"/>
        </w:rPr>
        <w:t xml:space="preserve"> 273 ss.</w:t>
      </w:r>
    </w:p>
  </w:footnote>
  <w:footnote w:id="17">
    <w:p w14:paraId="09582CE3" w14:textId="2C0441E6" w:rsidR="005D345F" w:rsidRDefault="005D345F">
      <w:pPr>
        <w:pStyle w:val="Textonotapie"/>
      </w:pPr>
      <w:r>
        <w:rPr>
          <w:rStyle w:val="Refdenotaalpie"/>
        </w:rPr>
        <w:footnoteRef/>
      </w:r>
      <w:r>
        <w:t xml:space="preserve"> </w:t>
      </w:r>
      <w:r w:rsidRPr="005C2FC7">
        <w:rPr>
          <w:rFonts w:ascii="Times New Roman" w:hAnsi="Times New Roman" w:cs="Times New Roman"/>
        </w:rPr>
        <w:t>Peter</w:t>
      </w:r>
      <w:r w:rsidRPr="005C2FC7">
        <w:rPr>
          <w:rFonts w:ascii="Times New Roman" w:hAnsi="Times New Roman" w:cs="Times New Roman"/>
          <w:smallCaps/>
        </w:rPr>
        <w:t xml:space="preserve"> </w:t>
      </w:r>
      <w:r w:rsidRPr="005C2FC7">
        <w:rPr>
          <w:rFonts w:ascii="Times New Roman" w:hAnsi="Times New Roman" w:cs="Times New Roman"/>
        </w:rPr>
        <w:t>Lerche (1993), p. 140.</w:t>
      </w:r>
    </w:p>
  </w:footnote>
  <w:footnote w:id="18">
    <w:p w14:paraId="27114D1B" w14:textId="0B43AEB3" w:rsidR="00B964ED" w:rsidRPr="00B964ED" w:rsidRDefault="00B964ED" w:rsidP="00B964ED">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O facto de dever ser “inconciliável” pretende precisamente demonstrar que qualquer solução de compromisso entre o EM e a UE </w:t>
      </w:r>
      <w:r w:rsidR="00FB15B7">
        <w:rPr>
          <w:rFonts w:ascii="Times New Roman" w:hAnsi="Times New Roman" w:cs="Times New Roman"/>
        </w:rPr>
        <w:t>seria inalcançável e que, por isso, qualquer diálogo entre ambos seria incapaz de ter como resultado a aproximação das duas soluções legais em oposição.</w:t>
      </w:r>
    </w:p>
  </w:footnote>
  <w:footnote w:id="19">
    <w:p w14:paraId="645D1937" w14:textId="770D8285" w:rsidR="00C64B9E" w:rsidRPr="00C64B9E" w:rsidRDefault="00C64B9E" w:rsidP="00C64B9E">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Pense-se na Convenção Europeia dos Direitos Humanos e jurisprudência do respectivo Tribunal, que se pronunciou já várias vezes também sobre aspectos do Direito da UE. </w:t>
      </w:r>
    </w:p>
  </w:footnote>
  <w:footnote w:id="20">
    <w:p w14:paraId="54D6203C" w14:textId="6B696780" w:rsidR="008647A1" w:rsidRPr="00E90D51" w:rsidRDefault="008647A1" w:rsidP="005A7504">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Essa confiança é principalmente colocada à prova em questões que estão tradicionalmente confiadas ao Estado</w:t>
      </w:r>
      <w:r w:rsidR="005A7504">
        <w:rPr>
          <w:rFonts w:ascii="Times New Roman" w:hAnsi="Times New Roman" w:cs="Times New Roman"/>
        </w:rPr>
        <w:t xml:space="preserve">, porque associadas ao núcleo da sua soberania: o </w:t>
      </w:r>
      <w:r w:rsidR="00E90D51">
        <w:rPr>
          <w:rFonts w:ascii="Times New Roman" w:hAnsi="Times New Roman" w:cs="Times New Roman"/>
        </w:rPr>
        <w:t xml:space="preserve">exercício do seu </w:t>
      </w:r>
      <w:r w:rsidR="00E90D51">
        <w:rPr>
          <w:rFonts w:ascii="Times New Roman" w:hAnsi="Times New Roman" w:cs="Times New Roman"/>
          <w:i/>
          <w:iCs/>
        </w:rPr>
        <w:t xml:space="preserve">ius puniendi </w:t>
      </w:r>
      <w:r w:rsidR="00E90D51">
        <w:rPr>
          <w:rFonts w:ascii="Times New Roman" w:hAnsi="Times New Roman" w:cs="Times New Roman"/>
        </w:rPr>
        <w:t xml:space="preserve">e o direito de manter ou remover pessoas do seu território, bem como a protecção dos direitos fundamentais. Ambos os exemplos serão posteriormente mencionados. Sobre a confiança na Área de Segurança, Liberdade e Justiça, </w:t>
      </w:r>
      <w:r w:rsidR="00E90D51" w:rsidRPr="00E90D51">
        <w:rPr>
          <w:rFonts w:ascii="Times New Roman" w:hAnsi="Times New Roman" w:cs="Times New Roman"/>
          <w:bCs/>
        </w:rPr>
        <w:t>Valsamis</w:t>
      </w:r>
      <w:r w:rsidR="00E90D51" w:rsidRPr="00E90D51">
        <w:rPr>
          <w:rFonts w:ascii="Times New Roman" w:hAnsi="Times New Roman" w:cs="Times New Roman"/>
          <w:bCs/>
          <w:smallCaps/>
        </w:rPr>
        <w:t xml:space="preserve"> </w:t>
      </w:r>
      <w:r w:rsidR="00E90D51" w:rsidRPr="00E90D51">
        <w:rPr>
          <w:rFonts w:ascii="Times New Roman" w:hAnsi="Times New Roman" w:cs="Times New Roman"/>
          <w:bCs/>
        </w:rPr>
        <w:t xml:space="preserve">Mitsilegas </w:t>
      </w:r>
      <w:r w:rsidR="00E90D51">
        <w:rPr>
          <w:rFonts w:ascii="Times New Roman" w:hAnsi="Times New Roman" w:cs="Times New Roman"/>
          <w:bCs/>
        </w:rPr>
        <w:t>(</w:t>
      </w:r>
      <w:r w:rsidR="00E90D51" w:rsidRPr="00E90D51">
        <w:rPr>
          <w:rFonts w:ascii="Times New Roman" w:hAnsi="Times New Roman" w:cs="Times New Roman"/>
          <w:bCs/>
        </w:rPr>
        <w:t>2020</w:t>
      </w:r>
      <w:r w:rsidR="00E90D51">
        <w:rPr>
          <w:rFonts w:ascii="Times New Roman" w:hAnsi="Times New Roman" w:cs="Times New Roman"/>
          <w:bCs/>
        </w:rPr>
        <w:t>)</w:t>
      </w:r>
      <w:r w:rsidR="00E90D51" w:rsidRPr="00E90D51">
        <w:rPr>
          <w:rFonts w:ascii="Times New Roman" w:hAnsi="Times New Roman" w:cs="Times New Roman"/>
          <w:bCs/>
        </w:rPr>
        <w:t xml:space="preserve"> </w:t>
      </w:r>
      <w:r w:rsidR="00E90D51">
        <w:rPr>
          <w:rFonts w:ascii="Times New Roman" w:hAnsi="Times New Roman" w:cs="Times New Roman"/>
          <w:bCs/>
        </w:rPr>
        <w:t>e</w:t>
      </w:r>
      <w:r w:rsidR="00E90D51" w:rsidRPr="00E90D51">
        <w:rPr>
          <w:rFonts w:ascii="Times New Roman" w:hAnsi="Times New Roman" w:cs="Times New Roman"/>
          <w:bCs/>
        </w:rPr>
        <w:t xml:space="preserve"> Pedro</w:t>
      </w:r>
      <w:r w:rsidR="00E90D51" w:rsidRPr="00E90D51">
        <w:rPr>
          <w:rFonts w:ascii="Times New Roman" w:hAnsi="Times New Roman" w:cs="Times New Roman"/>
          <w:bCs/>
          <w:smallCaps/>
        </w:rPr>
        <w:t xml:space="preserve"> </w:t>
      </w:r>
      <w:r w:rsidR="00E90D51" w:rsidRPr="00E90D51">
        <w:rPr>
          <w:rFonts w:ascii="Times New Roman" w:hAnsi="Times New Roman" w:cs="Times New Roman"/>
          <w:bCs/>
        </w:rPr>
        <w:t xml:space="preserve">Caeiro </w:t>
      </w:r>
      <w:r w:rsidR="00E90D51">
        <w:rPr>
          <w:rFonts w:ascii="Times New Roman" w:hAnsi="Times New Roman" w:cs="Times New Roman"/>
          <w:bCs/>
        </w:rPr>
        <w:t>(</w:t>
      </w:r>
      <w:r w:rsidR="00E90D51" w:rsidRPr="00E90D51">
        <w:rPr>
          <w:rFonts w:ascii="Times New Roman" w:hAnsi="Times New Roman" w:cs="Times New Roman"/>
          <w:bCs/>
        </w:rPr>
        <w:t>2020</w:t>
      </w:r>
      <w:r w:rsidR="00E90D51">
        <w:rPr>
          <w:rFonts w:ascii="Times New Roman" w:hAnsi="Times New Roman" w:cs="Times New Roman"/>
          <w:bCs/>
        </w:rPr>
        <w:t>).</w:t>
      </w:r>
    </w:p>
  </w:footnote>
  <w:footnote w:id="21">
    <w:p w14:paraId="1B02FC20" w14:textId="0D37B0E6" w:rsidR="00C22AF3" w:rsidRPr="00C22AF3" w:rsidRDefault="00C22AF3" w:rsidP="00372BD7">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Na rede interconstitucional, as Constituições nacionais mantêm a sua função de </w:t>
      </w:r>
      <w:r w:rsidR="00372BD7">
        <w:rPr>
          <w:rFonts w:ascii="Times New Roman" w:hAnsi="Times New Roman" w:cs="Times New Roman"/>
        </w:rPr>
        <w:t>auto-descrição e auto-referência, mas não são já auto-suficientes, uma vez que certos princípios (como a hierarquia ou competência) são desvalorizados em prol da abertura à influência jurídica externa que advém precisamente do facto de se encontrarem integradas numa rede constitucional, o que pressupõe a interculturalidade e a descoberta de regras comuns – José Canotilho (2003), p. 1426 ss.</w:t>
      </w:r>
    </w:p>
  </w:footnote>
  <w:footnote w:id="22">
    <w:p w14:paraId="132FA8BC" w14:textId="460B786E" w:rsidR="00D13969" w:rsidRPr="009E7F4C" w:rsidRDefault="00D13969" w:rsidP="002866B5">
      <w:pPr>
        <w:pStyle w:val="Textonotapie"/>
        <w:jc w:val="both"/>
        <w:rPr>
          <w:rFonts w:ascii="Times New Roman" w:hAnsi="Times New Roman" w:cs="Times New Roman"/>
        </w:rPr>
      </w:pPr>
      <w:r>
        <w:rPr>
          <w:rStyle w:val="Refdenotaalpie"/>
        </w:rPr>
        <w:footnoteRef/>
      </w:r>
      <w:r>
        <w:t xml:space="preserve"> </w:t>
      </w:r>
      <w:r w:rsidR="009E7F4C">
        <w:rPr>
          <w:rFonts w:ascii="Times New Roman" w:hAnsi="Times New Roman" w:cs="Times New Roman"/>
        </w:rPr>
        <w:t xml:space="preserve">Exemplificativamente: </w:t>
      </w:r>
      <w:r w:rsidR="009E7F4C">
        <w:rPr>
          <w:rFonts w:ascii="Times New Roman" w:hAnsi="Times New Roman" w:cs="Times New Roman"/>
        </w:rPr>
        <w:t>constitucionalismo pós-nacional tolerante</w:t>
      </w:r>
      <w:r w:rsidR="002866B5">
        <w:rPr>
          <w:rFonts w:ascii="Times New Roman" w:hAnsi="Times New Roman" w:cs="Times New Roman"/>
        </w:rPr>
        <w:t xml:space="preserve">, multi-nível, quase-federal, compósito, policêntrico, cooperativo; complexidade constitucional ou pluralismo pós-nacional. Em relação a estas teorias, v. José Pujol (2014), p. 54; </w:t>
      </w:r>
      <w:r w:rsidR="002866B5" w:rsidRPr="002866B5">
        <w:rPr>
          <w:rFonts w:ascii="Times New Roman" w:hAnsi="Times New Roman" w:cs="Times New Roman"/>
        </w:rPr>
        <w:t xml:space="preserve">Davor Jančić </w:t>
      </w:r>
      <w:r w:rsidR="002866B5">
        <w:rPr>
          <w:rFonts w:ascii="Times New Roman" w:hAnsi="Times New Roman" w:cs="Times New Roman"/>
        </w:rPr>
        <w:t>(</w:t>
      </w:r>
      <w:r w:rsidR="002866B5" w:rsidRPr="002866B5">
        <w:rPr>
          <w:rFonts w:ascii="Times New Roman" w:hAnsi="Times New Roman" w:cs="Times New Roman"/>
        </w:rPr>
        <w:t>2012</w:t>
      </w:r>
      <w:r w:rsidR="002866B5">
        <w:rPr>
          <w:rFonts w:ascii="Times New Roman" w:hAnsi="Times New Roman" w:cs="Times New Roman"/>
        </w:rPr>
        <w:t>)</w:t>
      </w:r>
      <w:r w:rsidR="002866B5" w:rsidRPr="002866B5">
        <w:rPr>
          <w:rFonts w:ascii="Times New Roman" w:hAnsi="Times New Roman" w:cs="Times New Roman"/>
        </w:rPr>
        <w:t>, p. 239/240</w:t>
      </w:r>
      <w:r w:rsidR="002866B5">
        <w:rPr>
          <w:rFonts w:ascii="Times New Roman" w:hAnsi="Times New Roman" w:cs="Times New Roman"/>
        </w:rPr>
        <w:t xml:space="preserve">; </w:t>
      </w:r>
      <w:r w:rsidR="002866B5" w:rsidRPr="002866B5">
        <w:rPr>
          <w:rFonts w:ascii="Times New Roman" w:hAnsi="Times New Roman" w:cs="Times New Roman"/>
        </w:rPr>
        <w:t xml:space="preserve">Giuseppe Martinico </w:t>
      </w:r>
      <w:r w:rsidR="002866B5">
        <w:rPr>
          <w:rFonts w:ascii="Times New Roman" w:hAnsi="Times New Roman" w:cs="Times New Roman"/>
        </w:rPr>
        <w:t>(</w:t>
      </w:r>
      <w:r w:rsidR="002866B5" w:rsidRPr="002866B5">
        <w:rPr>
          <w:rFonts w:ascii="Times New Roman" w:hAnsi="Times New Roman" w:cs="Times New Roman"/>
        </w:rPr>
        <w:t>2012</w:t>
      </w:r>
      <w:r w:rsidR="002866B5">
        <w:rPr>
          <w:rFonts w:ascii="Times New Roman" w:hAnsi="Times New Roman" w:cs="Times New Roman"/>
        </w:rPr>
        <w:t>)</w:t>
      </w:r>
      <w:r w:rsidR="002866B5" w:rsidRPr="002866B5">
        <w:rPr>
          <w:rFonts w:ascii="Times New Roman" w:hAnsi="Times New Roman" w:cs="Times New Roman"/>
        </w:rPr>
        <w:t xml:space="preserve">, p. 220 </w:t>
      </w:r>
      <w:r w:rsidR="002866B5">
        <w:rPr>
          <w:rFonts w:ascii="Times New Roman" w:hAnsi="Times New Roman" w:cs="Times New Roman"/>
        </w:rPr>
        <w:t xml:space="preserve">ss; e </w:t>
      </w:r>
      <w:r w:rsidR="002866B5" w:rsidRPr="002866B5">
        <w:rPr>
          <w:rFonts w:ascii="Times New Roman" w:hAnsi="Times New Roman" w:cs="Times New Roman"/>
          <w:bCs/>
        </w:rPr>
        <w:t>Massimo Fichera</w:t>
      </w:r>
      <w:r w:rsidR="002866B5">
        <w:rPr>
          <w:rFonts w:ascii="Times New Roman" w:hAnsi="Times New Roman" w:cs="Times New Roman"/>
          <w:bCs/>
        </w:rPr>
        <w:t xml:space="preserve">, </w:t>
      </w:r>
      <w:r w:rsidR="002866B5" w:rsidRPr="002866B5">
        <w:rPr>
          <w:rFonts w:ascii="Times New Roman" w:hAnsi="Times New Roman" w:cs="Times New Roman"/>
          <w:bCs/>
        </w:rPr>
        <w:t xml:space="preserve">Oreste Pollicini </w:t>
      </w:r>
      <w:r w:rsidR="002866B5">
        <w:rPr>
          <w:rFonts w:ascii="Times New Roman" w:hAnsi="Times New Roman" w:cs="Times New Roman"/>
          <w:bCs/>
        </w:rPr>
        <w:t>(</w:t>
      </w:r>
      <w:r w:rsidR="002866B5" w:rsidRPr="002866B5">
        <w:rPr>
          <w:rFonts w:ascii="Times New Roman" w:hAnsi="Times New Roman" w:cs="Times New Roman"/>
          <w:bCs/>
        </w:rPr>
        <w:t>2019</w:t>
      </w:r>
      <w:r w:rsidR="002866B5">
        <w:rPr>
          <w:rFonts w:ascii="Times New Roman" w:hAnsi="Times New Roman" w:cs="Times New Roman"/>
          <w:bCs/>
        </w:rPr>
        <w:t xml:space="preserve">). </w:t>
      </w:r>
    </w:p>
  </w:footnote>
  <w:footnote w:id="23">
    <w:p w14:paraId="3FC1C3D0" w14:textId="6244CAA3" w:rsidR="004E58E1" w:rsidRPr="004E58E1" w:rsidRDefault="004E58E1" w:rsidP="004E58E1">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Que pode, também, ser visto como algo transitório ou um aspecto intrínseco do constitucionalismo </w:t>
      </w:r>
      <w:r>
        <w:rPr>
          <w:rFonts w:ascii="Times New Roman" w:hAnsi="Times New Roman" w:cs="Times New Roman"/>
        </w:rPr>
        <w:t xml:space="preserve">europeu – Andrea Simoncini (2014), p. 244. </w:t>
      </w:r>
    </w:p>
  </w:footnote>
  <w:footnote w:id="24">
    <w:p w14:paraId="6AE3E419" w14:textId="2F8D4003" w:rsidR="007E0E61" w:rsidRPr="007F3F85" w:rsidRDefault="007E0E61" w:rsidP="007E0E61">
      <w:pPr>
        <w:pStyle w:val="Textonotapie"/>
        <w:jc w:val="both"/>
      </w:pPr>
      <w:r>
        <w:rPr>
          <w:rStyle w:val="Refdenotaalpie"/>
        </w:rPr>
        <w:footnoteRef/>
      </w:r>
      <w:r>
        <w:t xml:space="preserve"> </w:t>
      </w:r>
      <w:r w:rsidRPr="007E0E61">
        <w:rPr>
          <w:rFonts w:ascii="Times New Roman" w:hAnsi="Times New Roman" w:cs="Times New Roman"/>
        </w:rPr>
        <w:t>Denis</w:t>
      </w:r>
      <w:r w:rsidRPr="007E0E61">
        <w:rPr>
          <w:rFonts w:ascii="Times New Roman" w:hAnsi="Times New Roman" w:cs="Times New Roman"/>
          <w:smallCaps/>
        </w:rPr>
        <w:t xml:space="preserve"> </w:t>
      </w:r>
      <w:r w:rsidRPr="007E0E61">
        <w:rPr>
          <w:rFonts w:ascii="Times New Roman" w:hAnsi="Times New Roman" w:cs="Times New Roman"/>
        </w:rPr>
        <w:t>Preshova (2012), p. 249. Naturalmente, há a</w:t>
      </w:r>
      <w:r>
        <w:rPr>
          <w:rFonts w:ascii="Times New Roman" w:hAnsi="Times New Roman" w:cs="Times New Roman"/>
        </w:rPr>
        <w:t xml:space="preserve">utores que criticam tal visão pluralista (p. ex. </w:t>
      </w:r>
      <w:r w:rsidRPr="007E0E61">
        <w:rPr>
          <w:rFonts w:ascii="Times New Roman" w:hAnsi="Times New Roman" w:cs="Times New Roman"/>
        </w:rPr>
        <w:t>Gareth</w:t>
      </w:r>
      <w:r w:rsidRPr="007E0E61">
        <w:rPr>
          <w:rFonts w:ascii="Times New Roman" w:hAnsi="Times New Roman" w:cs="Times New Roman"/>
          <w:smallCaps/>
        </w:rPr>
        <w:t xml:space="preserve"> </w:t>
      </w:r>
      <w:r w:rsidRPr="007E0E61">
        <w:rPr>
          <w:rFonts w:ascii="Times New Roman" w:hAnsi="Times New Roman" w:cs="Times New Roman"/>
        </w:rPr>
        <w:t>Davies, 2012) ou que negam a existência de uma identidade e</w:t>
      </w:r>
      <w:r>
        <w:rPr>
          <w:rFonts w:ascii="Times New Roman" w:hAnsi="Times New Roman" w:cs="Times New Roman"/>
        </w:rPr>
        <w:t xml:space="preserve">uropeia, precisamente porque o que parece existir é uma multiplicidade de identidades e não uma que se possa identificar como exclusivamente da UE (v. </w:t>
      </w:r>
      <w:r w:rsidRPr="007E0E61">
        <w:rPr>
          <w:rFonts w:ascii="Times New Roman" w:hAnsi="Times New Roman" w:cs="Times New Roman"/>
          <w:bCs/>
        </w:rPr>
        <w:t>Carolina</w:t>
      </w:r>
      <w:r w:rsidRPr="007E0E61">
        <w:rPr>
          <w:rFonts w:ascii="Times New Roman" w:hAnsi="Times New Roman" w:cs="Times New Roman"/>
        </w:rPr>
        <w:t xml:space="preserve"> </w:t>
      </w:r>
      <w:r w:rsidRPr="007E0E61">
        <w:rPr>
          <w:rFonts w:ascii="Times New Roman" w:hAnsi="Times New Roman" w:cs="Times New Roman"/>
          <w:bCs/>
        </w:rPr>
        <w:t xml:space="preserve">Pereira </w:t>
      </w:r>
      <w:r>
        <w:rPr>
          <w:rFonts w:ascii="Times New Roman" w:hAnsi="Times New Roman" w:cs="Times New Roman"/>
          <w:bCs/>
        </w:rPr>
        <w:t>(</w:t>
      </w:r>
      <w:r w:rsidRPr="007E0E61">
        <w:rPr>
          <w:rFonts w:ascii="Times New Roman" w:hAnsi="Times New Roman" w:cs="Times New Roman"/>
          <w:bCs/>
        </w:rPr>
        <w:t>2012</w:t>
      </w:r>
      <w:r>
        <w:rPr>
          <w:rFonts w:ascii="Times New Roman" w:hAnsi="Times New Roman" w:cs="Times New Roman"/>
          <w:bCs/>
        </w:rPr>
        <w:t>)</w:t>
      </w:r>
      <w:r w:rsidRPr="007E0E61">
        <w:rPr>
          <w:rFonts w:ascii="Times New Roman" w:hAnsi="Times New Roman" w:cs="Times New Roman"/>
          <w:bCs/>
        </w:rPr>
        <w:t>, p. 7715</w:t>
      </w:r>
      <w:r>
        <w:rPr>
          <w:rFonts w:ascii="Times New Roman" w:hAnsi="Times New Roman" w:cs="Times New Roman"/>
          <w:bCs/>
        </w:rPr>
        <w:t xml:space="preserve">). </w:t>
      </w:r>
      <w:r w:rsidR="007F3F85">
        <w:rPr>
          <w:rFonts w:ascii="Times New Roman" w:hAnsi="Times New Roman" w:cs="Times New Roman"/>
          <w:bCs/>
        </w:rPr>
        <w:t xml:space="preserve">No entanto, existem exemplos práticos que demonstram esta interacção constitucional, um dos mais relevantes sendo o do julgamento do Tribunal Constitucional Alemão, </w:t>
      </w:r>
      <w:r w:rsidR="007F3F85" w:rsidRPr="007F3F85">
        <w:rPr>
          <w:rFonts w:ascii="Times New Roman" w:hAnsi="Times New Roman" w:cs="Times New Roman"/>
        </w:rPr>
        <w:t>1BvR 276/17 (</w:t>
      </w:r>
      <w:r w:rsidR="007F3F85" w:rsidRPr="007F3F85">
        <w:rPr>
          <w:rFonts w:ascii="Times New Roman" w:hAnsi="Times New Roman" w:cs="Times New Roman"/>
          <w:i/>
        </w:rPr>
        <w:t>Recht auf Vergessen II</w:t>
      </w:r>
      <w:r w:rsidR="007F3F85" w:rsidRPr="007F3F85">
        <w:rPr>
          <w:rFonts w:ascii="Times New Roman" w:hAnsi="Times New Roman" w:cs="Times New Roman"/>
        </w:rPr>
        <w:t>)</w:t>
      </w:r>
      <w:r w:rsidR="007F3F85">
        <w:rPr>
          <w:rFonts w:ascii="Times New Roman" w:hAnsi="Times New Roman" w:cs="Times New Roman"/>
        </w:rPr>
        <w:t xml:space="preserve">, onde os juízes reconheceram que a questão de direitos fundamentais invocada se encontrava já completamente harmonizada e procederam, consequentemente, a analisar o caso tendo em conta não a Lei Fundamental alemã, mas sim o Direito da União Europeia (em comentário, </w:t>
      </w:r>
      <w:r w:rsidR="007F3F85" w:rsidRPr="007F3F85">
        <w:rPr>
          <w:rFonts w:ascii="Times New Roman" w:hAnsi="Times New Roman" w:cs="Times New Roman"/>
          <w:bCs/>
        </w:rPr>
        <w:t>Matej</w:t>
      </w:r>
      <w:r w:rsidR="007F3F85" w:rsidRPr="007F3F85">
        <w:rPr>
          <w:rFonts w:ascii="Times New Roman" w:hAnsi="Times New Roman" w:cs="Times New Roman"/>
        </w:rPr>
        <w:t xml:space="preserve"> </w:t>
      </w:r>
      <w:r w:rsidR="007F3F85" w:rsidRPr="007F3F85">
        <w:rPr>
          <w:rFonts w:ascii="Times New Roman" w:hAnsi="Times New Roman" w:cs="Times New Roman"/>
          <w:bCs/>
        </w:rPr>
        <w:t>Avbelj, 2020</w:t>
      </w:r>
      <w:r w:rsidR="007F3F85">
        <w:rPr>
          <w:rFonts w:ascii="Times New Roman" w:hAnsi="Times New Roman" w:cs="Times New Roman"/>
          <w:bCs/>
        </w:rPr>
        <w:t xml:space="preserve">). </w:t>
      </w:r>
    </w:p>
  </w:footnote>
  <w:footnote w:id="25">
    <w:p w14:paraId="538B81FB" w14:textId="447B4773" w:rsidR="009D7369" w:rsidRDefault="009D7369">
      <w:pPr>
        <w:pStyle w:val="Textonotapie"/>
      </w:pPr>
      <w:r>
        <w:rPr>
          <w:rStyle w:val="Refdenotaalpie"/>
        </w:rPr>
        <w:footnoteRef/>
      </w:r>
      <w:r>
        <w:t xml:space="preserve"> </w:t>
      </w:r>
      <w:r w:rsidRPr="005C2FC7">
        <w:rPr>
          <w:rFonts w:ascii="Times New Roman" w:hAnsi="Times New Roman" w:cs="Times New Roman"/>
          <w:bCs/>
        </w:rPr>
        <w:t>Stephen</w:t>
      </w:r>
      <w:r w:rsidRPr="005C2FC7">
        <w:rPr>
          <w:rFonts w:ascii="Times New Roman" w:hAnsi="Times New Roman" w:cs="Times New Roman"/>
          <w:bCs/>
          <w:smallCaps/>
        </w:rPr>
        <w:t xml:space="preserve"> </w:t>
      </w:r>
      <w:r w:rsidRPr="005C2FC7">
        <w:rPr>
          <w:rFonts w:ascii="Times New Roman" w:hAnsi="Times New Roman" w:cs="Times New Roman"/>
          <w:bCs/>
        </w:rPr>
        <w:t>Coutts (2011), p. 90.</w:t>
      </w:r>
    </w:p>
  </w:footnote>
  <w:footnote w:id="26">
    <w:p w14:paraId="5125AD71" w14:textId="38DAA8DF" w:rsidR="00845EDF" w:rsidRPr="005C2FC7" w:rsidRDefault="00845EDF">
      <w:pPr>
        <w:pStyle w:val="Textonotapie"/>
      </w:pPr>
      <w:r>
        <w:rPr>
          <w:rStyle w:val="Refdenotaalpie"/>
        </w:rPr>
        <w:footnoteRef/>
      </w:r>
      <w:r w:rsidRPr="005C2FC7">
        <w:t xml:space="preserve"> </w:t>
      </w:r>
      <w:r w:rsidRPr="005C2FC7">
        <w:rPr>
          <w:rFonts w:ascii="Times New Roman" w:hAnsi="Times New Roman" w:cs="Times New Roman"/>
          <w:bCs/>
        </w:rPr>
        <w:t xml:space="preserve">Luis </w:t>
      </w:r>
      <w:r w:rsidRPr="005C2FC7">
        <w:rPr>
          <w:rFonts w:ascii="Times New Roman" w:hAnsi="Times New Roman" w:cs="Times New Roman"/>
          <w:bCs/>
        </w:rPr>
        <w:t>María</w:t>
      </w:r>
      <w:r w:rsidRPr="005C2FC7">
        <w:rPr>
          <w:rFonts w:ascii="Times New Roman" w:hAnsi="Times New Roman" w:cs="Times New Roman"/>
          <w:bCs/>
          <w:smallCaps/>
        </w:rPr>
        <w:t xml:space="preserve"> </w:t>
      </w:r>
      <w:r w:rsidRPr="005C2FC7">
        <w:rPr>
          <w:rFonts w:ascii="Times New Roman" w:hAnsi="Times New Roman" w:cs="Times New Roman"/>
          <w:bCs/>
        </w:rPr>
        <w:t>Díez-Picazo (2008), p. 59.</w:t>
      </w:r>
    </w:p>
  </w:footnote>
  <w:footnote w:id="27">
    <w:p w14:paraId="6F41BE23" w14:textId="58EB421D" w:rsidR="009722AE" w:rsidRPr="009722AE" w:rsidRDefault="009722AE" w:rsidP="009722AE">
      <w:pPr>
        <w:pStyle w:val="Textonotapie"/>
        <w:jc w:val="both"/>
        <w:rPr>
          <w:rFonts w:ascii="Times New Roman" w:hAnsi="Times New Roman" w:cs="Times New Roman"/>
        </w:rPr>
      </w:pPr>
      <w:r>
        <w:rPr>
          <w:rStyle w:val="Refdenotaalpie"/>
        </w:rPr>
        <w:footnoteRef/>
      </w:r>
      <w:r>
        <w:rPr>
          <w:rStyle w:val="Refdenotaalpie"/>
        </w:rPr>
        <w:footnoteRef/>
      </w:r>
      <w:r>
        <w:t xml:space="preserve"> </w:t>
      </w:r>
      <w:r w:rsidR="00D15C4B">
        <w:rPr>
          <w:rFonts w:ascii="Times New Roman" w:hAnsi="Times New Roman" w:cs="Times New Roman"/>
        </w:rPr>
        <w:t>E</w:t>
      </w:r>
      <w:r>
        <w:rPr>
          <w:rFonts w:ascii="Times New Roman" w:hAnsi="Times New Roman" w:cs="Times New Roman"/>
        </w:rPr>
        <w:t xml:space="preserve">xemplos desse diálogo </w:t>
      </w:r>
      <w:r w:rsidR="00D15C4B">
        <w:rPr>
          <w:rFonts w:ascii="Times New Roman" w:hAnsi="Times New Roman" w:cs="Times New Roman"/>
        </w:rPr>
        <w:t>são</w:t>
      </w:r>
      <w:r>
        <w:rPr>
          <w:rFonts w:ascii="Times New Roman" w:hAnsi="Times New Roman" w:cs="Times New Roman"/>
        </w:rPr>
        <w:t xml:space="preserve"> a conhecida </w:t>
      </w:r>
      <w:r>
        <w:rPr>
          <w:rFonts w:ascii="Times New Roman" w:hAnsi="Times New Roman" w:cs="Times New Roman"/>
        </w:rPr>
        <w:t xml:space="preserve">saga </w:t>
      </w:r>
      <w:r>
        <w:rPr>
          <w:rFonts w:ascii="Times New Roman" w:hAnsi="Times New Roman" w:cs="Times New Roman"/>
          <w:i/>
          <w:iCs/>
        </w:rPr>
        <w:t>Solange</w:t>
      </w:r>
      <w:r w:rsidR="00D15C4B" w:rsidRPr="00D15C4B">
        <w:rPr>
          <w:rFonts w:ascii="Times New Roman" w:hAnsi="Times New Roman" w:cs="Times New Roman"/>
        </w:rPr>
        <w:t xml:space="preserve"> </w:t>
      </w:r>
      <w:r w:rsidR="00D15C4B">
        <w:rPr>
          <w:rFonts w:ascii="Times New Roman" w:hAnsi="Times New Roman" w:cs="Times New Roman"/>
        </w:rPr>
        <w:t xml:space="preserve">e </w:t>
      </w:r>
      <w:r w:rsidR="00D15C4B">
        <w:rPr>
          <w:rFonts w:ascii="Times New Roman" w:hAnsi="Times New Roman" w:cs="Times New Roman"/>
          <w:i/>
          <w:iCs/>
        </w:rPr>
        <w:t>Taricco</w:t>
      </w:r>
      <w:r>
        <w:rPr>
          <w:rFonts w:ascii="Times New Roman" w:hAnsi="Times New Roman" w:cs="Times New Roman"/>
        </w:rPr>
        <w:t>, que op</w:t>
      </w:r>
      <w:r w:rsidR="00D15C4B">
        <w:rPr>
          <w:rFonts w:ascii="Times New Roman" w:hAnsi="Times New Roman" w:cs="Times New Roman"/>
        </w:rPr>
        <w:t>useram, respectivamente,</w:t>
      </w:r>
      <w:r>
        <w:rPr>
          <w:rFonts w:ascii="Times New Roman" w:hAnsi="Times New Roman" w:cs="Times New Roman"/>
        </w:rPr>
        <w:t xml:space="preserve"> o Tribunal Constitucional alemão </w:t>
      </w:r>
      <w:r w:rsidR="00D15C4B">
        <w:rPr>
          <w:rFonts w:ascii="Times New Roman" w:hAnsi="Times New Roman" w:cs="Times New Roman"/>
        </w:rPr>
        <w:t>e italiano a</w:t>
      </w:r>
      <w:r>
        <w:rPr>
          <w:rFonts w:ascii="Times New Roman" w:hAnsi="Times New Roman" w:cs="Times New Roman"/>
        </w:rPr>
        <w:t xml:space="preserve">o TJUE. </w:t>
      </w:r>
    </w:p>
  </w:footnote>
  <w:footnote w:id="28">
    <w:p w14:paraId="215DD644" w14:textId="6E61ED4A" w:rsidR="00AF1789" w:rsidRPr="00AF1789" w:rsidRDefault="00AF1789" w:rsidP="00AF1789">
      <w:pPr>
        <w:pStyle w:val="Textonotapie"/>
        <w:jc w:val="both"/>
        <w:rPr>
          <w:lang w:val="en-US"/>
        </w:rPr>
      </w:pPr>
      <w:r>
        <w:rPr>
          <w:rStyle w:val="Refdenotaalpie"/>
        </w:rPr>
        <w:footnoteRef/>
      </w:r>
      <w:r w:rsidRPr="00AF1789">
        <w:rPr>
          <w:lang w:val="en-US"/>
        </w:rPr>
        <w:t xml:space="preserve"> </w:t>
      </w:r>
      <w:bookmarkStart w:id="2" w:name="_Hlk195030674"/>
      <w:r w:rsidRPr="002638DC">
        <w:rPr>
          <w:rFonts w:ascii="Times New Roman" w:hAnsi="Times New Roman" w:cs="Times New Roman"/>
          <w:lang w:val="en-GB"/>
        </w:rPr>
        <w:t>Opinion 2/13 (</w:t>
      </w:r>
      <w:r w:rsidRPr="002638DC">
        <w:rPr>
          <w:rFonts w:ascii="Times New Roman" w:hAnsi="Times New Roman" w:cs="Times New Roman"/>
          <w:i/>
          <w:iCs/>
          <w:lang w:val="en-GB"/>
        </w:rPr>
        <w:t>Accession of the European Union to the ECHR</w:t>
      </w:r>
      <w:r w:rsidRPr="002638DC">
        <w:rPr>
          <w:rFonts w:ascii="Times New Roman" w:hAnsi="Times New Roman" w:cs="Times New Roman"/>
          <w:lang w:val="en-GB"/>
        </w:rPr>
        <w:t>)</w:t>
      </w:r>
      <w:bookmarkEnd w:id="2"/>
      <w:r w:rsidRPr="002638DC">
        <w:rPr>
          <w:rFonts w:ascii="Times New Roman" w:hAnsi="Times New Roman" w:cs="Times New Roman"/>
          <w:lang w:val="en-GB"/>
        </w:rPr>
        <w:t>, § 168</w:t>
      </w:r>
      <w:r w:rsidR="00622AE2">
        <w:rPr>
          <w:rFonts w:ascii="Times New Roman" w:hAnsi="Times New Roman" w:cs="Times New Roman"/>
          <w:lang w:val="en-GB"/>
        </w:rPr>
        <w:t>.</w:t>
      </w:r>
    </w:p>
  </w:footnote>
  <w:footnote w:id="29">
    <w:p w14:paraId="202B8936" w14:textId="037A5B32" w:rsidR="00D0194C" w:rsidRPr="00D0194C" w:rsidRDefault="00D0194C" w:rsidP="00D0194C">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Foi também fundamental para a criação e manutenção de uma área interna sem fronteiras: </w:t>
      </w:r>
      <w:r w:rsidRPr="00D0194C">
        <w:rPr>
          <w:rFonts w:ascii="Times New Roman" w:hAnsi="Times New Roman" w:cs="Times New Roman"/>
        </w:rPr>
        <w:t>C</w:t>
      </w:r>
      <w:r w:rsidRPr="00D0194C">
        <w:rPr>
          <w:rFonts w:ascii="Times New Roman" w:hAnsi="Times New Roman" w:cs="Times New Roman"/>
        </w:rPr>
        <w:noBreakHyphen/>
        <w:t>220/18 PPU (</w:t>
      </w:r>
      <w:r w:rsidRPr="00D0194C">
        <w:rPr>
          <w:rFonts w:ascii="Times New Roman" w:hAnsi="Times New Roman" w:cs="Times New Roman"/>
          <w:i/>
          <w:iCs/>
        </w:rPr>
        <w:t>ML</w:t>
      </w:r>
      <w:r w:rsidRPr="00D0194C">
        <w:rPr>
          <w:rFonts w:ascii="Times New Roman" w:hAnsi="Times New Roman" w:cs="Times New Roman"/>
        </w:rPr>
        <w:t xml:space="preserve">), § 48 </w:t>
      </w:r>
      <w:r>
        <w:rPr>
          <w:rFonts w:ascii="Times New Roman" w:hAnsi="Times New Roman" w:cs="Times New Roman"/>
        </w:rPr>
        <w:t>e</w:t>
      </w:r>
      <w:r w:rsidRPr="00D0194C">
        <w:rPr>
          <w:rFonts w:ascii="Times New Roman" w:hAnsi="Times New Roman" w:cs="Times New Roman"/>
        </w:rPr>
        <w:t xml:space="preserve"> 49</w:t>
      </w:r>
      <w:r>
        <w:rPr>
          <w:rFonts w:ascii="Times New Roman" w:hAnsi="Times New Roman" w:cs="Times New Roman"/>
        </w:rPr>
        <w:t xml:space="preserve">. A mesma presunção é válida para o sistema de asilo europeu e suas regras de alocação da responsabilidade para proceder à sua </w:t>
      </w:r>
      <w:r>
        <w:rPr>
          <w:rFonts w:ascii="Times New Roman" w:hAnsi="Times New Roman" w:cs="Times New Roman"/>
        </w:rPr>
        <w:t xml:space="preserve">análise: </w:t>
      </w:r>
      <w:r w:rsidRPr="00D0194C">
        <w:rPr>
          <w:rFonts w:ascii="Times New Roman" w:hAnsi="Times New Roman" w:cs="Times New Roman"/>
        </w:rPr>
        <w:t>C</w:t>
      </w:r>
      <w:r w:rsidRPr="00D0194C">
        <w:rPr>
          <w:rFonts w:ascii="Times New Roman" w:hAnsi="Times New Roman" w:cs="Times New Roman"/>
        </w:rPr>
        <w:noBreakHyphen/>
        <w:t>163/17 (</w:t>
      </w:r>
      <w:r w:rsidRPr="00D0194C">
        <w:rPr>
          <w:rFonts w:ascii="Times New Roman" w:hAnsi="Times New Roman" w:cs="Times New Roman"/>
          <w:i/>
          <w:iCs/>
        </w:rPr>
        <w:t>Jawo</w:t>
      </w:r>
      <w:r w:rsidRPr="00D0194C">
        <w:rPr>
          <w:rFonts w:ascii="Times New Roman" w:hAnsi="Times New Roman" w:cs="Times New Roman"/>
        </w:rPr>
        <w:t>), § 82</w:t>
      </w:r>
      <w:r>
        <w:rPr>
          <w:rFonts w:ascii="Times New Roman" w:hAnsi="Times New Roman" w:cs="Times New Roman"/>
        </w:rPr>
        <w:t>.</w:t>
      </w:r>
    </w:p>
  </w:footnote>
  <w:footnote w:id="30">
    <w:p w14:paraId="4F6F05FF" w14:textId="172E34E2" w:rsidR="008031B1" w:rsidRDefault="008031B1">
      <w:pPr>
        <w:pStyle w:val="Textonotapie"/>
      </w:pPr>
      <w:r>
        <w:rPr>
          <w:rStyle w:val="Refdenotaalpie"/>
        </w:rPr>
        <w:footnoteRef/>
      </w:r>
      <w:r>
        <w:t xml:space="preserve"> </w:t>
      </w:r>
      <w:r w:rsidRPr="00727FB1">
        <w:rPr>
          <w:rFonts w:ascii="Times New Roman" w:hAnsi="Times New Roman" w:cs="Times New Roman"/>
        </w:rPr>
        <w:t>C</w:t>
      </w:r>
      <w:r w:rsidRPr="00727FB1">
        <w:rPr>
          <w:rFonts w:ascii="Times New Roman" w:hAnsi="Times New Roman" w:cs="Times New Roman"/>
        </w:rPr>
        <w:noBreakHyphen/>
        <w:t>216/18 PPU (</w:t>
      </w:r>
      <w:r w:rsidRPr="00727FB1">
        <w:rPr>
          <w:rFonts w:ascii="Times New Roman" w:hAnsi="Times New Roman" w:cs="Times New Roman"/>
          <w:i/>
          <w:iCs/>
        </w:rPr>
        <w:t>LM</w:t>
      </w:r>
      <w:r w:rsidRPr="00727FB1">
        <w:rPr>
          <w:rFonts w:ascii="Times New Roman" w:hAnsi="Times New Roman" w:cs="Times New Roman"/>
        </w:rPr>
        <w:t>), § 37</w:t>
      </w:r>
      <w:r>
        <w:rPr>
          <w:rFonts w:ascii="Times New Roman" w:hAnsi="Times New Roman" w:cs="Times New Roman"/>
        </w:rPr>
        <w:t>.</w:t>
      </w:r>
    </w:p>
  </w:footnote>
  <w:footnote w:id="31">
    <w:p w14:paraId="0141B17D" w14:textId="08094297" w:rsidR="00AF2D9F" w:rsidRPr="00AF2D9F" w:rsidRDefault="00AF2D9F" w:rsidP="00AF2D9F">
      <w:pPr>
        <w:pStyle w:val="Textonotapie"/>
        <w:jc w:val="both"/>
        <w:rPr>
          <w:rFonts w:ascii="Times New Roman" w:hAnsi="Times New Roman" w:cs="Times New Roman"/>
        </w:rPr>
      </w:pPr>
      <w:r>
        <w:rPr>
          <w:rStyle w:val="Refdenotaalpie"/>
        </w:rPr>
        <w:footnoteRef/>
      </w:r>
      <w:r w:rsidRPr="00D807B9">
        <w:t xml:space="preserve"> </w:t>
      </w:r>
      <w:r w:rsidRPr="00D807B9">
        <w:rPr>
          <w:rFonts w:ascii="Times New Roman" w:hAnsi="Times New Roman" w:cs="Times New Roman"/>
        </w:rPr>
        <w:t xml:space="preserve">Exemplificativamente, AG Jean Richard de la Tour no </w:t>
      </w:r>
      <w:r w:rsidRPr="00D807B9">
        <w:rPr>
          <w:rFonts w:ascii="Times New Roman" w:hAnsi="Times New Roman" w:cs="Times New Roman"/>
        </w:rPr>
        <w:t>caso C-158/21 (</w:t>
      </w:r>
      <w:r w:rsidRPr="00D807B9">
        <w:rPr>
          <w:rFonts w:ascii="Times New Roman" w:hAnsi="Times New Roman" w:cs="Times New Roman"/>
          <w:i/>
          <w:iCs/>
        </w:rPr>
        <w:t>Puig Gordi and Others</w:t>
      </w:r>
      <w:r w:rsidRPr="00D807B9">
        <w:rPr>
          <w:rFonts w:ascii="Times New Roman" w:hAnsi="Times New Roman" w:cs="Times New Roman"/>
        </w:rPr>
        <w:t xml:space="preserve">), § 87. </w:t>
      </w:r>
      <w:r w:rsidRPr="00AF2D9F">
        <w:rPr>
          <w:rFonts w:ascii="Times New Roman" w:hAnsi="Times New Roman" w:cs="Times New Roman"/>
        </w:rPr>
        <w:t>Essa conclusão era já retirada no ca</w:t>
      </w:r>
      <w:r>
        <w:rPr>
          <w:rFonts w:ascii="Times New Roman" w:hAnsi="Times New Roman" w:cs="Times New Roman"/>
        </w:rPr>
        <w:t>so</w:t>
      </w:r>
      <w:r w:rsidRPr="00AF2D9F">
        <w:rPr>
          <w:rFonts w:ascii="Times New Roman" w:hAnsi="Times New Roman" w:cs="Times New Roman"/>
        </w:rPr>
        <w:t xml:space="preserve"> C-303/05 (</w:t>
      </w:r>
      <w:r w:rsidRPr="00AF2D9F">
        <w:rPr>
          <w:rFonts w:ascii="Times New Roman" w:hAnsi="Times New Roman" w:cs="Times New Roman"/>
          <w:i/>
          <w:iCs/>
        </w:rPr>
        <w:t>Advocaten voor de Wereld</w:t>
      </w:r>
      <w:r w:rsidRPr="00AF2D9F">
        <w:rPr>
          <w:rFonts w:ascii="Times New Roman" w:hAnsi="Times New Roman" w:cs="Times New Roman"/>
        </w:rPr>
        <w:t>), § 53 (</w:t>
      </w:r>
      <w:r>
        <w:rPr>
          <w:rFonts w:ascii="Times New Roman" w:hAnsi="Times New Roman" w:cs="Times New Roman"/>
        </w:rPr>
        <w:t>em comentário e análise</w:t>
      </w:r>
      <w:r w:rsidRPr="00AF2D9F">
        <w:rPr>
          <w:rFonts w:ascii="Times New Roman" w:hAnsi="Times New Roman" w:cs="Times New Roman"/>
        </w:rPr>
        <w:t>, Pedro</w:t>
      </w:r>
      <w:r w:rsidRPr="00AF2D9F">
        <w:rPr>
          <w:rFonts w:ascii="Times New Roman" w:hAnsi="Times New Roman" w:cs="Times New Roman"/>
          <w:smallCaps/>
        </w:rPr>
        <w:t xml:space="preserve"> Caeiro</w:t>
      </w:r>
      <w:r w:rsidRPr="00AF2D9F">
        <w:rPr>
          <w:rFonts w:ascii="Times New Roman" w:hAnsi="Times New Roman" w:cs="Times New Roman"/>
        </w:rPr>
        <w:t>, 2019)</w:t>
      </w:r>
      <w:r>
        <w:rPr>
          <w:rFonts w:ascii="Times New Roman" w:hAnsi="Times New Roman" w:cs="Times New Roman"/>
        </w:rPr>
        <w:t>.</w:t>
      </w:r>
    </w:p>
  </w:footnote>
  <w:footnote w:id="32">
    <w:p w14:paraId="1FF6AD8F" w14:textId="664C61E3" w:rsidR="00A4696B" w:rsidRPr="00A4696B" w:rsidRDefault="00A4696B" w:rsidP="00A4696B">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Esta questão surgiu primeiramente em relação à proibição de tratamento desumano e degradante, no caso </w:t>
      </w:r>
      <w:r w:rsidRPr="00A4696B">
        <w:rPr>
          <w:rFonts w:ascii="Times New Roman" w:hAnsi="Times New Roman" w:cs="Times New Roman"/>
        </w:rPr>
        <w:t>C</w:t>
      </w:r>
      <w:r w:rsidRPr="00A4696B">
        <w:rPr>
          <w:rFonts w:ascii="Times New Roman" w:hAnsi="Times New Roman" w:cs="Times New Roman"/>
        </w:rPr>
        <w:noBreakHyphen/>
        <w:t xml:space="preserve">404/15 </w:t>
      </w:r>
      <w:r>
        <w:rPr>
          <w:rFonts w:ascii="Times New Roman" w:hAnsi="Times New Roman" w:cs="Times New Roman"/>
        </w:rPr>
        <w:t>e</w:t>
      </w:r>
      <w:r w:rsidRPr="00A4696B">
        <w:rPr>
          <w:rFonts w:ascii="Times New Roman" w:hAnsi="Times New Roman" w:cs="Times New Roman"/>
        </w:rPr>
        <w:t xml:space="preserve"> </w:t>
      </w:r>
      <w:r w:rsidRPr="00A4696B">
        <w:rPr>
          <w:rFonts w:ascii="Times New Roman" w:hAnsi="Times New Roman" w:cs="Times New Roman"/>
        </w:rPr>
        <w:t>C</w:t>
      </w:r>
      <w:r w:rsidRPr="00A4696B">
        <w:rPr>
          <w:rFonts w:ascii="Times New Roman" w:hAnsi="Times New Roman" w:cs="Times New Roman"/>
        </w:rPr>
        <w:noBreakHyphen/>
        <w:t>659/15 PPU (</w:t>
      </w:r>
      <w:r w:rsidRPr="00A4696B">
        <w:rPr>
          <w:rFonts w:ascii="Times New Roman" w:hAnsi="Times New Roman" w:cs="Times New Roman"/>
          <w:i/>
          <w:iCs/>
        </w:rPr>
        <w:t>Aranyosi and Căldăraru</w:t>
      </w:r>
      <w:r w:rsidRPr="00A4696B">
        <w:rPr>
          <w:rFonts w:ascii="Times New Roman" w:hAnsi="Times New Roman" w:cs="Times New Roman"/>
        </w:rPr>
        <w:t xml:space="preserve">), § 82 </w:t>
      </w:r>
      <w:r>
        <w:rPr>
          <w:rFonts w:ascii="Times New Roman" w:hAnsi="Times New Roman" w:cs="Times New Roman"/>
        </w:rPr>
        <w:t>ss</w:t>
      </w:r>
      <w:r w:rsidRPr="00A4696B">
        <w:rPr>
          <w:rFonts w:ascii="Times New Roman" w:hAnsi="Times New Roman" w:cs="Times New Roman"/>
        </w:rPr>
        <w:t>)</w:t>
      </w:r>
      <w:r>
        <w:rPr>
          <w:rFonts w:ascii="Times New Roman" w:hAnsi="Times New Roman" w:cs="Times New Roman"/>
        </w:rPr>
        <w:t xml:space="preserve">, sendo depois estendida a outros direitos fundamentais. </w:t>
      </w:r>
    </w:p>
  </w:footnote>
  <w:footnote w:id="33">
    <w:p w14:paraId="22ABB21C" w14:textId="1B5422CD" w:rsidR="008B646D" w:rsidRPr="008B646D" w:rsidRDefault="008B646D">
      <w:pPr>
        <w:pStyle w:val="Textonotapie"/>
      </w:pPr>
      <w:r>
        <w:rPr>
          <w:rStyle w:val="Refdenotaalpie"/>
        </w:rPr>
        <w:footnoteRef/>
      </w:r>
      <w:r>
        <w:t xml:space="preserve"> </w:t>
      </w:r>
      <w:r w:rsidRPr="008B646D">
        <w:rPr>
          <w:rFonts w:ascii="Times New Roman" w:hAnsi="Times New Roman" w:cs="Times New Roman"/>
        </w:rPr>
        <w:t>C</w:t>
      </w:r>
      <w:r w:rsidRPr="008B646D">
        <w:rPr>
          <w:rFonts w:ascii="Times New Roman" w:hAnsi="Times New Roman" w:cs="Times New Roman"/>
        </w:rPr>
        <w:noBreakHyphen/>
        <w:t>327/18 PPU (</w:t>
      </w:r>
      <w:r w:rsidRPr="008B646D">
        <w:rPr>
          <w:rFonts w:ascii="Times New Roman" w:hAnsi="Times New Roman" w:cs="Times New Roman"/>
          <w:i/>
          <w:iCs/>
        </w:rPr>
        <w:t>RO</w:t>
      </w:r>
      <w:r w:rsidRPr="008B646D">
        <w:rPr>
          <w:rFonts w:ascii="Times New Roman" w:hAnsi="Times New Roman" w:cs="Times New Roman"/>
        </w:rPr>
        <w:t>), § 34</w:t>
      </w:r>
      <w:r>
        <w:rPr>
          <w:rFonts w:ascii="Times New Roman" w:hAnsi="Times New Roman" w:cs="Times New Roman"/>
        </w:rPr>
        <w:t>.</w:t>
      </w:r>
    </w:p>
  </w:footnote>
  <w:footnote w:id="34">
    <w:p w14:paraId="7C4DECAB" w14:textId="05C7C414" w:rsidR="00A476B9" w:rsidRPr="00A476B9" w:rsidRDefault="00A476B9" w:rsidP="00A476B9">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Em geral, uma situação deficitária geral que não se reflicta de maneira comprovada na situação particular do indivíduo não será obstáculo à cooperação. No entanto, no caso </w:t>
      </w:r>
      <w:r w:rsidRPr="00A476B9">
        <w:rPr>
          <w:rFonts w:ascii="Times New Roman" w:hAnsi="Times New Roman" w:cs="Times New Roman"/>
        </w:rPr>
        <w:t>C</w:t>
      </w:r>
      <w:r w:rsidRPr="00A476B9">
        <w:rPr>
          <w:rFonts w:ascii="Times New Roman" w:hAnsi="Times New Roman" w:cs="Times New Roman"/>
        </w:rPr>
        <w:noBreakHyphen/>
        <w:t>699/21</w:t>
      </w:r>
      <w:r>
        <w:rPr>
          <w:rFonts w:ascii="Times New Roman" w:hAnsi="Times New Roman" w:cs="Times New Roman"/>
        </w:rPr>
        <w:t xml:space="preserve"> (</w:t>
      </w:r>
      <w:r>
        <w:rPr>
          <w:rFonts w:ascii="Times New Roman" w:hAnsi="Times New Roman" w:cs="Times New Roman"/>
          <w:i/>
          <w:iCs/>
        </w:rPr>
        <w:t>E.D.L.</w:t>
      </w:r>
      <w:r>
        <w:rPr>
          <w:rFonts w:ascii="Times New Roman" w:hAnsi="Times New Roman" w:cs="Times New Roman"/>
        </w:rPr>
        <w:t xml:space="preserve">), o Tribunal Europeu concluiu que poderia ser possível recusar a cooperação, mesmo na ausência de deficiências generalizadas no EM de emissão, se </w:t>
      </w:r>
      <w:r w:rsidR="003B2F0D">
        <w:rPr>
          <w:rFonts w:ascii="Times New Roman" w:hAnsi="Times New Roman" w:cs="Times New Roman"/>
        </w:rPr>
        <w:t xml:space="preserve">comprovadamente a entrega do indivíduo resultasse na violação de um seu direito fundamental – neste caso, motivada pela doença de que sofria o indivíduo em causa. </w:t>
      </w:r>
    </w:p>
  </w:footnote>
  <w:footnote w:id="35">
    <w:p w14:paraId="64CDB9BF" w14:textId="40799FAA" w:rsidR="003E014A" w:rsidRPr="00C430DD" w:rsidRDefault="003E014A">
      <w:pPr>
        <w:pStyle w:val="Textonotapie"/>
        <w:rPr>
          <w:rFonts w:ascii="Times New Roman" w:hAnsi="Times New Roman" w:cs="Times New Roman"/>
        </w:rPr>
      </w:pPr>
      <w:r>
        <w:rPr>
          <w:rStyle w:val="Refdenotaalpie"/>
        </w:rPr>
        <w:footnoteRef/>
      </w:r>
      <w:r>
        <w:t xml:space="preserve"> </w:t>
      </w:r>
      <w:r w:rsidR="00B66C23">
        <w:rPr>
          <w:rFonts w:ascii="Times New Roman" w:hAnsi="Times New Roman" w:cs="Times New Roman"/>
        </w:rPr>
        <w:t>E</w:t>
      </w:r>
      <w:r w:rsidR="00C430DD">
        <w:rPr>
          <w:rFonts w:ascii="Times New Roman" w:hAnsi="Times New Roman" w:cs="Times New Roman"/>
        </w:rPr>
        <w:t xml:space="preserve">ra precisamente a situação em causa em </w:t>
      </w:r>
      <w:r w:rsidR="00C430DD" w:rsidRPr="00C430DD">
        <w:rPr>
          <w:rFonts w:ascii="Times New Roman" w:hAnsi="Times New Roman" w:cs="Times New Roman"/>
        </w:rPr>
        <w:t>C</w:t>
      </w:r>
      <w:r w:rsidR="00C430DD" w:rsidRPr="00C430DD">
        <w:rPr>
          <w:rFonts w:ascii="Times New Roman" w:hAnsi="Times New Roman" w:cs="Times New Roman"/>
        </w:rPr>
        <w:noBreakHyphen/>
        <w:t xml:space="preserve">404/15 </w:t>
      </w:r>
      <w:r w:rsidR="00C430DD">
        <w:rPr>
          <w:rFonts w:ascii="Times New Roman" w:hAnsi="Times New Roman" w:cs="Times New Roman"/>
        </w:rPr>
        <w:t>e</w:t>
      </w:r>
      <w:r w:rsidR="00C430DD" w:rsidRPr="00C430DD">
        <w:rPr>
          <w:rFonts w:ascii="Times New Roman" w:hAnsi="Times New Roman" w:cs="Times New Roman"/>
        </w:rPr>
        <w:t xml:space="preserve"> </w:t>
      </w:r>
      <w:r w:rsidR="00C430DD" w:rsidRPr="00C430DD">
        <w:rPr>
          <w:rFonts w:ascii="Times New Roman" w:hAnsi="Times New Roman" w:cs="Times New Roman"/>
        </w:rPr>
        <w:t>C</w:t>
      </w:r>
      <w:r w:rsidR="00C430DD" w:rsidRPr="00C430DD">
        <w:rPr>
          <w:rFonts w:ascii="Times New Roman" w:hAnsi="Times New Roman" w:cs="Times New Roman"/>
        </w:rPr>
        <w:noBreakHyphen/>
        <w:t>659/15 PPU (</w:t>
      </w:r>
      <w:r w:rsidR="00C430DD" w:rsidRPr="00C430DD">
        <w:rPr>
          <w:rFonts w:ascii="Times New Roman" w:hAnsi="Times New Roman" w:cs="Times New Roman"/>
          <w:i/>
          <w:iCs/>
        </w:rPr>
        <w:t>Aranyosi and Căldăraru</w:t>
      </w:r>
      <w:r w:rsidR="00C430DD" w:rsidRPr="00C430DD">
        <w:rPr>
          <w:rFonts w:ascii="Times New Roman" w:hAnsi="Times New Roman" w:cs="Times New Roman"/>
        </w:rPr>
        <w:t>), § 91 – 93</w:t>
      </w:r>
      <w:r w:rsidR="00C430DD">
        <w:rPr>
          <w:rFonts w:ascii="Times New Roman" w:hAnsi="Times New Roman" w:cs="Times New Roman"/>
        </w:rPr>
        <w:t>.</w:t>
      </w:r>
    </w:p>
  </w:footnote>
  <w:footnote w:id="36">
    <w:p w14:paraId="68A3B80B" w14:textId="2EA73AE7" w:rsidR="00E2020F" w:rsidRPr="00E2020F" w:rsidRDefault="00E2020F" w:rsidP="00E2020F">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O recital 10 da DQ </w:t>
      </w:r>
      <w:r w:rsidRPr="00E2020F">
        <w:rPr>
          <w:rFonts w:ascii="Times New Roman" w:hAnsi="Times New Roman" w:cs="Times New Roman"/>
        </w:rPr>
        <w:t>2002/584/JHA</w:t>
      </w:r>
      <w:r>
        <w:rPr>
          <w:rFonts w:ascii="Times New Roman" w:hAnsi="Times New Roman" w:cs="Times New Roman"/>
        </w:rPr>
        <w:t>, relativa ao MDE, determina que essa suspensão só será possível “</w:t>
      </w:r>
      <w:r w:rsidRPr="00E2020F">
        <w:rPr>
          <w:rFonts w:ascii="Times New Roman" w:hAnsi="Times New Roman" w:cs="Times New Roman"/>
        </w:rPr>
        <w:t>no caso de violação grave e persistente, por parte de um Estado-Membro, dos princípios enunciados no n</w:t>
      </w:r>
      <w:r>
        <w:rPr>
          <w:rFonts w:ascii="Times New Roman" w:hAnsi="Times New Roman" w:cs="Times New Roman"/>
        </w:rPr>
        <w:t>º</w:t>
      </w:r>
      <w:r w:rsidRPr="00E2020F">
        <w:rPr>
          <w:rFonts w:ascii="Times New Roman" w:hAnsi="Times New Roman" w:cs="Times New Roman"/>
        </w:rPr>
        <w:t xml:space="preserve"> 1 do artigo 6</w:t>
      </w:r>
      <w:r>
        <w:rPr>
          <w:rFonts w:ascii="Times New Roman" w:hAnsi="Times New Roman" w:cs="Times New Roman"/>
        </w:rPr>
        <w:t>º</w:t>
      </w:r>
      <w:r w:rsidRPr="00E2020F">
        <w:rPr>
          <w:rFonts w:ascii="Times New Roman" w:hAnsi="Times New Roman" w:cs="Times New Roman"/>
        </w:rPr>
        <w:t xml:space="preserve"> do Tratado da União Europeia, verificada pelo Conselho nos termos do n</w:t>
      </w:r>
      <w:r>
        <w:rPr>
          <w:rFonts w:ascii="Times New Roman" w:hAnsi="Times New Roman" w:cs="Times New Roman"/>
        </w:rPr>
        <w:t>º</w:t>
      </w:r>
      <w:r w:rsidRPr="00E2020F">
        <w:rPr>
          <w:rFonts w:ascii="Times New Roman" w:hAnsi="Times New Roman" w:cs="Times New Roman"/>
        </w:rPr>
        <w:t xml:space="preserve"> 1 do artigo 7</w:t>
      </w:r>
      <w:r>
        <w:rPr>
          <w:rFonts w:ascii="Times New Roman" w:hAnsi="Times New Roman" w:cs="Times New Roman"/>
        </w:rPr>
        <w:t>º</w:t>
      </w:r>
      <w:r w:rsidRPr="00E2020F">
        <w:rPr>
          <w:rFonts w:ascii="Times New Roman" w:hAnsi="Times New Roman" w:cs="Times New Roman"/>
        </w:rPr>
        <w:t xml:space="preserve"> do mesmo Tratado e com as consequências previstas no n</w:t>
      </w:r>
      <w:r>
        <w:rPr>
          <w:rFonts w:ascii="Times New Roman" w:hAnsi="Times New Roman" w:cs="Times New Roman"/>
        </w:rPr>
        <w:t>º</w:t>
      </w:r>
      <w:r w:rsidRPr="00E2020F">
        <w:rPr>
          <w:rFonts w:ascii="Times New Roman" w:hAnsi="Times New Roman" w:cs="Times New Roman"/>
        </w:rPr>
        <w:t xml:space="preserve"> 2 do mesmo artigo</w:t>
      </w:r>
      <w:r>
        <w:rPr>
          <w:rFonts w:ascii="Times New Roman" w:hAnsi="Times New Roman" w:cs="Times New Roman"/>
        </w:rPr>
        <w:t xml:space="preserve">”. </w:t>
      </w:r>
    </w:p>
  </w:footnote>
  <w:footnote w:id="37">
    <w:p w14:paraId="6FFEDA2F" w14:textId="6481320C" w:rsidR="004665A1" w:rsidRPr="005364BB" w:rsidRDefault="004665A1" w:rsidP="004665A1">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Sobre a </w:t>
      </w:r>
      <w:r>
        <w:rPr>
          <w:rFonts w:ascii="Times New Roman" w:hAnsi="Times New Roman" w:cs="Times New Roman"/>
        </w:rPr>
        <w:t xml:space="preserve">perda de confiança, </w:t>
      </w:r>
      <w:r w:rsidRPr="005364BB">
        <w:rPr>
          <w:rFonts w:ascii="Times New Roman" w:hAnsi="Times New Roman" w:cs="Times New Roman"/>
        </w:rPr>
        <w:t>Patricia</w:t>
      </w:r>
      <w:r w:rsidRPr="005364BB">
        <w:rPr>
          <w:rFonts w:ascii="Times New Roman" w:hAnsi="Times New Roman" w:cs="Times New Roman"/>
          <w:smallCaps/>
        </w:rPr>
        <w:t xml:space="preserve"> </w:t>
      </w:r>
      <w:r w:rsidRPr="005364BB">
        <w:rPr>
          <w:rFonts w:ascii="Times New Roman" w:hAnsi="Times New Roman" w:cs="Times New Roman"/>
        </w:rPr>
        <w:t>Popelier, Giulia Gentile and Ester</w:t>
      </w:r>
      <w:r w:rsidRPr="005364BB">
        <w:rPr>
          <w:rFonts w:ascii="Times New Roman" w:hAnsi="Times New Roman" w:cs="Times New Roman"/>
          <w:smallCaps/>
        </w:rPr>
        <w:t xml:space="preserve"> </w:t>
      </w:r>
      <w:r w:rsidRPr="005364BB">
        <w:rPr>
          <w:rFonts w:ascii="Times New Roman" w:hAnsi="Times New Roman" w:cs="Times New Roman"/>
        </w:rPr>
        <w:t>van Zimmeren (2022), p.167 ss. Sobre a falta de independência</w:t>
      </w:r>
      <w:r w:rsidR="005364BB" w:rsidRPr="005364BB">
        <w:rPr>
          <w:rFonts w:ascii="Times New Roman" w:hAnsi="Times New Roman" w:cs="Times New Roman"/>
        </w:rPr>
        <w:t xml:space="preserve"> </w:t>
      </w:r>
      <w:r w:rsidR="005364BB">
        <w:rPr>
          <w:rFonts w:ascii="Times New Roman" w:hAnsi="Times New Roman" w:cs="Times New Roman"/>
        </w:rPr>
        <w:t xml:space="preserve">judicial, </w:t>
      </w:r>
      <w:r w:rsidR="005364BB" w:rsidRPr="005C2FC7">
        <w:rPr>
          <w:rFonts w:ascii="Times New Roman" w:hAnsi="Times New Roman" w:cs="Times New Roman"/>
        </w:rPr>
        <w:t>Thomas Wahl (2020).</w:t>
      </w:r>
    </w:p>
  </w:footnote>
  <w:footnote w:id="38">
    <w:p w14:paraId="04FE0462" w14:textId="306C4C72" w:rsidR="00C2135E" w:rsidRPr="00C2135E" w:rsidRDefault="00C2135E" w:rsidP="00E40A92">
      <w:pPr>
        <w:pStyle w:val="Textonotapie"/>
        <w:jc w:val="both"/>
      </w:pPr>
      <w:r>
        <w:rPr>
          <w:rStyle w:val="Refdenotaalpie"/>
        </w:rPr>
        <w:footnoteRef/>
      </w:r>
      <w:r w:rsidRPr="00C2135E">
        <w:t xml:space="preserve"> </w:t>
      </w:r>
      <w:bookmarkStart w:id="3" w:name="_Hlk195098620"/>
      <w:r w:rsidRPr="00C2135E">
        <w:rPr>
          <w:rFonts w:ascii="Times New Roman" w:hAnsi="Times New Roman" w:cs="Times New Roman"/>
        </w:rPr>
        <w:t>C</w:t>
      </w:r>
      <w:r w:rsidRPr="00C2135E">
        <w:rPr>
          <w:rFonts w:ascii="Times New Roman" w:hAnsi="Times New Roman" w:cs="Times New Roman"/>
        </w:rPr>
        <w:noBreakHyphen/>
        <w:t xml:space="preserve">216/18 PPU </w:t>
      </w:r>
      <w:r w:rsidRPr="00C2135E">
        <w:rPr>
          <w:rFonts w:ascii="Times New Roman" w:hAnsi="Times New Roman" w:cs="Times New Roman"/>
        </w:rPr>
        <w:t>(</w:t>
      </w:r>
      <w:r w:rsidRPr="00C2135E">
        <w:rPr>
          <w:rFonts w:ascii="Times New Roman" w:hAnsi="Times New Roman" w:cs="Times New Roman"/>
          <w:i/>
          <w:iCs/>
        </w:rPr>
        <w:t>LM</w:t>
      </w:r>
      <w:r w:rsidRPr="00C2135E">
        <w:rPr>
          <w:rFonts w:ascii="Times New Roman" w:hAnsi="Times New Roman" w:cs="Times New Roman"/>
        </w:rPr>
        <w:t>), § 70 ss; C</w:t>
      </w:r>
      <w:r w:rsidRPr="00C2135E">
        <w:rPr>
          <w:rFonts w:ascii="Times New Roman" w:hAnsi="Times New Roman" w:cs="Times New Roman"/>
        </w:rPr>
        <w:noBreakHyphen/>
        <w:t>562/21 PPU e C</w:t>
      </w:r>
      <w:r w:rsidRPr="00C2135E">
        <w:rPr>
          <w:rFonts w:ascii="Times New Roman" w:hAnsi="Times New Roman" w:cs="Times New Roman"/>
        </w:rPr>
        <w:noBreakHyphen/>
        <w:t>563/21 PPU (</w:t>
      </w:r>
      <w:r w:rsidRPr="00C2135E">
        <w:rPr>
          <w:rFonts w:ascii="Times New Roman" w:hAnsi="Times New Roman" w:cs="Times New Roman"/>
          <w:i/>
          <w:iCs/>
        </w:rPr>
        <w:t>X and Y</w:t>
      </w:r>
      <w:r w:rsidRPr="00C2135E">
        <w:rPr>
          <w:rFonts w:ascii="Times New Roman" w:hAnsi="Times New Roman" w:cs="Times New Roman"/>
        </w:rPr>
        <w:t>), § 63 ss; C</w:t>
      </w:r>
      <w:r w:rsidRPr="00C2135E">
        <w:rPr>
          <w:rFonts w:ascii="Times New Roman" w:hAnsi="Times New Roman" w:cs="Times New Roman"/>
        </w:rPr>
        <w:noBreakHyphen/>
        <w:t>354/20 PPU e C</w:t>
      </w:r>
      <w:r w:rsidRPr="00C2135E">
        <w:rPr>
          <w:rFonts w:ascii="Times New Roman" w:hAnsi="Times New Roman" w:cs="Times New Roman"/>
        </w:rPr>
        <w:noBreakHyphen/>
        <w:t>412/20 PPU (</w:t>
      </w:r>
      <w:r w:rsidRPr="00C2135E">
        <w:rPr>
          <w:rFonts w:ascii="Times New Roman" w:hAnsi="Times New Roman" w:cs="Times New Roman"/>
          <w:i/>
          <w:iCs/>
        </w:rPr>
        <w:t>L and P</w:t>
      </w:r>
      <w:r w:rsidRPr="00C2135E">
        <w:rPr>
          <w:rFonts w:ascii="Times New Roman" w:hAnsi="Times New Roman" w:cs="Times New Roman"/>
        </w:rPr>
        <w:t>)</w:t>
      </w:r>
      <w:bookmarkEnd w:id="3"/>
      <w:r w:rsidRPr="00C2135E">
        <w:rPr>
          <w:rFonts w:ascii="Times New Roman" w:hAnsi="Times New Roman" w:cs="Times New Roman"/>
        </w:rPr>
        <w:t>, § 41ss (em r</w:t>
      </w:r>
      <w:r>
        <w:rPr>
          <w:rFonts w:ascii="Times New Roman" w:hAnsi="Times New Roman" w:cs="Times New Roman"/>
        </w:rPr>
        <w:t>elação ao conceito de autoridade judiciária de emissão</w:t>
      </w:r>
      <w:r w:rsidRPr="00C2135E">
        <w:rPr>
          <w:rFonts w:ascii="Times New Roman" w:hAnsi="Times New Roman" w:cs="Times New Roman"/>
        </w:rPr>
        <w:t xml:space="preserve">), </w:t>
      </w:r>
      <w:r>
        <w:rPr>
          <w:rFonts w:ascii="Times New Roman" w:hAnsi="Times New Roman" w:cs="Times New Roman"/>
        </w:rPr>
        <w:t>e</w:t>
      </w:r>
      <w:r w:rsidRPr="00C2135E">
        <w:rPr>
          <w:rFonts w:ascii="Times New Roman" w:hAnsi="Times New Roman" w:cs="Times New Roman"/>
        </w:rPr>
        <w:t xml:space="preserve"> § 57 </w:t>
      </w:r>
      <w:r>
        <w:rPr>
          <w:rFonts w:ascii="Times New Roman" w:hAnsi="Times New Roman" w:cs="Times New Roman"/>
        </w:rPr>
        <w:t>ss.</w:t>
      </w:r>
    </w:p>
  </w:footnote>
  <w:footnote w:id="39">
    <w:p w14:paraId="673700FA" w14:textId="720EFDE0" w:rsidR="00F409EE" w:rsidRPr="00F409EE" w:rsidRDefault="00F409EE">
      <w:pPr>
        <w:pStyle w:val="Textonotapie"/>
        <w:rPr>
          <w:lang w:val="es-ES"/>
        </w:rPr>
      </w:pPr>
      <w:r>
        <w:rPr>
          <w:rStyle w:val="Refdenotaalpie"/>
        </w:rPr>
        <w:footnoteRef/>
      </w:r>
      <w:r w:rsidRPr="00F409EE">
        <w:rPr>
          <w:lang w:val="es-ES"/>
        </w:rPr>
        <w:t xml:space="preserve"> </w:t>
      </w:r>
      <w:r w:rsidRPr="00F409EE">
        <w:rPr>
          <w:rFonts w:ascii="Times New Roman" w:hAnsi="Times New Roman" w:cs="Times New Roman"/>
          <w:lang w:val="es-ES"/>
        </w:rPr>
        <w:t>C</w:t>
      </w:r>
      <w:r w:rsidRPr="00F409EE">
        <w:rPr>
          <w:rFonts w:ascii="Times New Roman" w:hAnsi="Times New Roman" w:cs="Times New Roman"/>
          <w:lang w:val="es-ES"/>
        </w:rPr>
        <w:noBreakHyphen/>
        <w:t>562/21 PPU e C</w:t>
      </w:r>
      <w:r w:rsidRPr="00F409EE">
        <w:rPr>
          <w:rFonts w:ascii="Times New Roman" w:hAnsi="Times New Roman" w:cs="Times New Roman"/>
          <w:lang w:val="es-ES"/>
        </w:rPr>
        <w:noBreakHyphen/>
        <w:t>563/21 PPU (</w:t>
      </w:r>
      <w:r w:rsidRPr="00F409EE">
        <w:rPr>
          <w:rFonts w:ascii="Times New Roman" w:hAnsi="Times New Roman" w:cs="Times New Roman"/>
          <w:i/>
          <w:iCs/>
          <w:lang w:val="es-ES"/>
        </w:rPr>
        <w:t>X and Y</w:t>
      </w:r>
      <w:r w:rsidRPr="00F409EE">
        <w:rPr>
          <w:rFonts w:ascii="Times New Roman" w:hAnsi="Times New Roman" w:cs="Times New Roman"/>
          <w:lang w:val="es-ES"/>
        </w:rPr>
        <w:t>), § 60 / 61.</w:t>
      </w:r>
    </w:p>
  </w:footnote>
  <w:footnote w:id="40">
    <w:p w14:paraId="0B669E51" w14:textId="17A73228" w:rsidR="00F409EE" w:rsidRPr="005C2FC7" w:rsidRDefault="00F409EE">
      <w:pPr>
        <w:pStyle w:val="Textonotapie"/>
      </w:pPr>
      <w:r>
        <w:rPr>
          <w:rStyle w:val="Refdenotaalpie"/>
        </w:rPr>
        <w:footnoteRef/>
      </w:r>
      <w:r w:rsidRPr="005C2FC7">
        <w:t xml:space="preserve"> </w:t>
      </w:r>
      <w:r w:rsidRPr="005C2FC7">
        <w:rPr>
          <w:rFonts w:ascii="Times New Roman" w:hAnsi="Times New Roman" w:cs="Times New Roman"/>
        </w:rPr>
        <w:t>C</w:t>
      </w:r>
      <w:r w:rsidRPr="005C2FC7">
        <w:rPr>
          <w:rFonts w:ascii="Times New Roman" w:hAnsi="Times New Roman" w:cs="Times New Roman"/>
        </w:rPr>
        <w:noBreakHyphen/>
        <w:t xml:space="preserve">562/21 PPU e </w:t>
      </w:r>
      <w:r w:rsidRPr="005C2FC7">
        <w:rPr>
          <w:rFonts w:ascii="Times New Roman" w:hAnsi="Times New Roman" w:cs="Times New Roman"/>
        </w:rPr>
        <w:t>C</w:t>
      </w:r>
      <w:r w:rsidRPr="005C2FC7">
        <w:rPr>
          <w:rFonts w:ascii="Times New Roman" w:hAnsi="Times New Roman" w:cs="Times New Roman"/>
        </w:rPr>
        <w:noBreakHyphen/>
        <w:t>563/21 PPU (</w:t>
      </w:r>
      <w:r w:rsidRPr="005C2FC7">
        <w:rPr>
          <w:rFonts w:ascii="Times New Roman" w:hAnsi="Times New Roman" w:cs="Times New Roman"/>
          <w:i/>
          <w:iCs/>
        </w:rPr>
        <w:t>X and Y</w:t>
      </w:r>
      <w:r w:rsidRPr="005C2FC7">
        <w:rPr>
          <w:rFonts w:ascii="Times New Roman" w:hAnsi="Times New Roman" w:cs="Times New Roman"/>
        </w:rPr>
        <w:t>), § 63; C</w:t>
      </w:r>
      <w:r w:rsidRPr="005C2FC7">
        <w:rPr>
          <w:rFonts w:ascii="Times New Roman" w:hAnsi="Times New Roman" w:cs="Times New Roman"/>
        </w:rPr>
        <w:noBreakHyphen/>
        <w:t>354/20 PPU e C</w:t>
      </w:r>
      <w:r w:rsidRPr="005C2FC7">
        <w:rPr>
          <w:rFonts w:ascii="Times New Roman" w:hAnsi="Times New Roman" w:cs="Times New Roman"/>
        </w:rPr>
        <w:noBreakHyphen/>
        <w:t>412/20 PPU (</w:t>
      </w:r>
      <w:r w:rsidRPr="005C2FC7">
        <w:rPr>
          <w:rFonts w:ascii="Times New Roman" w:hAnsi="Times New Roman" w:cs="Times New Roman"/>
          <w:i/>
          <w:iCs/>
        </w:rPr>
        <w:t>L and P</w:t>
      </w:r>
      <w:r w:rsidRPr="005C2FC7">
        <w:rPr>
          <w:rFonts w:ascii="Times New Roman" w:hAnsi="Times New Roman" w:cs="Times New Roman"/>
        </w:rPr>
        <w:t>), § 62</w:t>
      </w:r>
    </w:p>
  </w:footnote>
  <w:footnote w:id="41">
    <w:p w14:paraId="52AC77AC" w14:textId="45BD736D" w:rsidR="00F0713D" w:rsidRPr="00F0713D" w:rsidRDefault="00F0713D" w:rsidP="00F0713D">
      <w:pPr>
        <w:pStyle w:val="Textonotapie"/>
        <w:jc w:val="both"/>
      </w:pPr>
      <w:r>
        <w:rPr>
          <w:rStyle w:val="Refdenotaalpie"/>
        </w:rPr>
        <w:footnoteRef/>
      </w:r>
      <w:r>
        <w:t xml:space="preserve"> </w:t>
      </w:r>
      <w:r w:rsidRPr="00F0713D">
        <w:rPr>
          <w:rFonts w:ascii="Times New Roman" w:hAnsi="Times New Roman" w:cs="Times New Roman"/>
        </w:rPr>
        <w:t>C</w:t>
      </w:r>
      <w:r w:rsidRPr="00F0713D">
        <w:rPr>
          <w:rFonts w:ascii="Times New Roman" w:hAnsi="Times New Roman" w:cs="Times New Roman"/>
        </w:rPr>
        <w:noBreakHyphen/>
        <w:t xml:space="preserve">128/18 </w:t>
      </w:r>
      <w:r w:rsidRPr="00F0713D">
        <w:rPr>
          <w:rFonts w:ascii="Times New Roman" w:hAnsi="Times New Roman" w:cs="Times New Roman"/>
        </w:rPr>
        <w:t>(</w:t>
      </w:r>
      <w:r w:rsidRPr="00F0713D">
        <w:rPr>
          <w:rFonts w:ascii="Times New Roman" w:hAnsi="Times New Roman" w:cs="Times New Roman"/>
          <w:i/>
          <w:iCs/>
        </w:rPr>
        <w:t>Dorobantu</w:t>
      </w:r>
      <w:r w:rsidRPr="00F0713D">
        <w:rPr>
          <w:rFonts w:ascii="Times New Roman" w:hAnsi="Times New Roman" w:cs="Times New Roman"/>
        </w:rPr>
        <w:t>), § 82</w:t>
      </w:r>
      <w:r>
        <w:rPr>
          <w:rFonts w:ascii="Times New Roman" w:hAnsi="Times New Roman" w:cs="Times New Roman"/>
        </w:rPr>
        <w:t>: “</w:t>
      </w:r>
      <w:r w:rsidRPr="00F0713D">
        <w:rPr>
          <w:rFonts w:ascii="Times New Roman" w:hAnsi="Times New Roman" w:cs="Times New Roman"/>
        </w:rPr>
        <w:t>o caráter absoluto</w:t>
      </w:r>
      <w:r w:rsidR="00886E98">
        <w:rPr>
          <w:rFonts w:ascii="Times New Roman" w:hAnsi="Times New Roman" w:cs="Times New Roman"/>
        </w:rPr>
        <w:t xml:space="preserve"> […]</w:t>
      </w:r>
      <w:r w:rsidRPr="00F0713D">
        <w:rPr>
          <w:rFonts w:ascii="Times New Roman" w:hAnsi="Times New Roman" w:cs="Times New Roman"/>
        </w:rPr>
        <w:t xml:space="preserve"> que reveste a proibição de tratos desumanos ou degradantes na aceção do artigo 4.</w:t>
      </w:r>
      <w:r w:rsidRPr="00F0713D">
        <w:rPr>
          <w:rFonts w:ascii="Times New Roman" w:hAnsi="Times New Roman" w:cs="Times New Roman"/>
          <w:vertAlign w:val="superscript"/>
        </w:rPr>
        <w:t>o</w:t>
      </w:r>
      <w:r w:rsidRPr="00F0713D">
        <w:rPr>
          <w:rFonts w:ascii="Times New Roman" w:hAnsi="Times New Roman" w:cs="Times New Roman"/>
        </w:rPr>
        <w:t> da Carta, opõe</w:t>
      </w:r>
      <w:r w:rsidRPr="00F0713D">
        <w:rPr>
          <w:rFonts w:ascii="Times New Roman" w:hAnsi="Times New Roman" w:cs="Times New Roman"/>
        </w:rPr>
        <w:noBreakHyphen/>
        <w:t xml:space="preserve">se a que o direito fundamental de não ser sujeito a tais tratos possa ser de algum modo limitado por </w:t>
      </w:r>
      <w:r w:rsidR="00886E98">
        <w:rPr>
          <w:rFonts w:ascii="Times New Roman" w:hAnsi="Times New Roman" w:cs="Times New Roman"/>
        </w:rPr>
        <w:t>[</w:t>
      </w:r>
      <w:r w:rsidR="00886E98" w:rsidRPr="00F0713D">
        <w:rPr>
          <w:rFonts w:ascii="Times New Roman" w:hAnsi="Times New Roman" w:cs="Times New Roman"/>
        </w:rPr>
        <w:t>considerações ligadas à eficácia da cooperação judiciária em matéria penal e aos princípios da confiança e do reconhecimento mútuos</w:t>
      </w:r>
      <w:r w:rsidR="00886E98">
        <w:rPr>
          <w:rFonts w:ascii="Times New Roman" w:hAnsi="Times New Roman" w:cs="Times New Roman"/>
        </w:rPr>
        <w:t xml:space="preserve">]”. </w:t>
      </w:r>
    </w:p>
  </w:footnote>
  <w:footnote w:id="42">
    <w:p w14:paraId="67C03D15" w14:textId="180C0AFF" w:rsidR="00DB24FE" w:rsidRDefault="00DB24FE">
      <w:pPr>
        <w:pStyle w:val="Textonotapie"/>
      </w:pPr>
      <w:r>
        <w:rPr>
          <w:rStyle w:val="Refdenotaalpie"/>
        </w:rPr>
        <w:footnoteRef/>
      </w:r>
      <w:r>
        <w:t xml:space="preserve"> </w:t>
      </w:r>
      <w:bookmarkStart w:id="4" w:name="_Hlk139363026"/>
      <w:r w:rsidRPr="00DB24FE">
        <w:rPr>
          <w:rFonts w:ascii="Times New Roman" w:hAnsi="Times New Roman" w:cs="Times New Roman"/>
        </w:rPr>
        <w:t xml:space="preserve">Também neste sentido, </w:t>
      </w:r>
      <w:r>
        <w:rPr>
          <w:rFonts w:ascii="Times New Roman" w:hAnsi="Times New Roman" w:cs="Times New Roman"/>
        </w:rPr>
        <w:t>T</w:t>
      </w:r>
      <w:r w:rsidRPr="00DB24FE">
        <w:rPr>
          <w:rFonts w:ascii="Times New Roman" w:hAnsi="Times New Roman" w:cs="Times New Roman"/>
        </w:rPr>
        <w:t>ímea Drinóczi and Pietro Faraguna</w:t>
      </w:r>
      <w:bookmarkEnd w:id="4"/>
      <w:r w:rsidRPr="00DB24FE">
        <w:rPr>
          <w:rFonts w:ascii="Times New Roman" w:hAnsi="Times New Roman" w:cs="Times New Roman"/>
          <w:smallCaps/>
        </w:rPr>
        <w:t xml:space="preserve"> (2022).</w:t>
      </w:r>
    </w:p>
  </w:footnote>
  <w:footnote w:id="43">
    <w:p w14:paraId="4E94FED7" w14:textId="3D78CBF1" w:rsidR="0079466C" w:rsidRPr="00A4479C" w:rsidRDefault="0079466C" w:rsidP="00A4479C">
      <w:pPr>
        <w:pStyle w:val="Textonotapie"/>
        <w:jc w:val="both"/>
        <w:rPr>
          <w:rFonts w:ascii="Times New Roman" w:hAnsi="Times New Roman" w:cs="Times New Roman"/>
        </w:rPr>
      </w:pPr>
      <w:r>
        <w:rPr>
          <w:rStyle w:val="Refdenotaalpie"/>
        </w:rPr>
        <w:footnoteRef/>
      </w:r>
      <w:r>
        <w:t xml:space="preserve"> </w:t>
      </w:r>
      <w:r w:rsidR="00A4479C">
        <w:rPr>
          <w:rFonts w:ascii="Times New Roman" w:hAnsi="Times New Roman" w:cs="Times New Roman"/>
        </w:rPr>
        <w:t xml:space="preserve">O art. 267º estabelece que apenas os Tribunais de última instância estão obrigados a recorrer ao TJUE; assim, antes de o caso chegar a esses Tribunais nacionais, não existirá obrigação de recorrer ao TJUE (mas apenas a possibilidade de o fazerem). Mesmo aí, os Tribunais </w:t>
      </w:r>
      <w:r w:rsidR="00CF0E0B">
        <w:rPr>
          <w:rFonts w:ascii="Times New Roman" w:hAnsi="Times New Roman" w:cs="Times New Roman"/>
        </w:rPr>
        <w:t xml:space="preserve">de última instância poderão recusar referir uma questão ao TJUE, ao abrigo das doutrinas do </w:t>
      </w:r>
      <w:r w:rsidR="00CF0E0B">
        <w:rPr>
          <w:rFonts w:ascii="Times New Roman" w:hAnsi="Times New Roman" w:cs="Times New Roman"/>
          <w:i/>
          <w:iCs/>
        </w:rPr>
        <w:t xml:space="preserve">acte claire </w:t>
      </w:r>
      <w:r w:rsidR="00CF0E0B">
        <w:rPr>
          <w:rFonts w:ascii="Times New Roman" w:hAnsi="Times New Roman" w:cs="Times New Roman"/>
        </w:rPr>
        <w:t xml:space="preserve">e </w:t>
      </w:r>
      <w:r w:rsidR="00CF0E0B">
        <w:rPr>
          <w:rFonts w:ascii="Times New Roman" w:hAnsi="Times New Roman" w:cs="Times New Roman"/>
          <w:i/>
          <w:iCs/>
        </w:rPr>
        <w:t>acte eclairé</w:t>
      </w:r>
      <w:r w:rsidR="00CF0E0B">
        <w:rPr>
          <w:rFonts w:ascii="Times New Roman" w:hAnsi="Times New Roman" w:cs="Times New Roman"/>
        </w:rPr>
        <w:t xml:space="preserve">. Ainda assim, a falta de referência de uma questão ao TJUE quando tal fosse considerado obrigatório – nomeadamente porque o procedimento nacional se encontra perante um Tribunal de última instância e / ou porque a questão não é clara nem tenha sido anteriormente esclarecida pelo TJUE – poderá dar lugar à responsabilidade do EM: v., p. ex., os julgamentos do Tribunal Europeu dos Direitos Humanos (TEDH), </w:t>
      </w:r>
      <w:r w:rsidR="00CF0E0B" w:rsidRPr="00533127">
        <w:rPr>
          <w:rFonts w:ascii="Times New Roman" w:hAnsi="Times New Roman" w:cs="Times New Roman"/>
          <w:i/>
          <w:iCs/>
        </w:rPr>
        <w:t xml:space="preserve">Schipani et Autres c. Italie </w:t>
      </w:r>
      <w:r w:rsidR="00CF0E0B" w:rsidRPr="00533127">
        <w:rPr>
          <w:rFonts w:ascii="Times New Roman" w:hAnsi="Times New Roman" w:cs="Times New Roman"/>
        </w:rPr>
        <w:t>(n</w:t>
      </w:r>
      <w:r w:rsidR="00CF0E0B">
        <w:rPr>
          <w:rFonts w:ascii="Times New Roman" w:hAnsi="Times New Roman" w:cs="Times New Roman"/>
        </w:rPr>
        <w:t>º</w:t>
      </w:r>
      <w:r w:rsidR="00CF0E0B" w:rsidRPr="00533127">
        <w:rPr>
          <w:rFonts w:ascii="Times New Roman" w:hAnsi="Times New Roman" w:cs="Times New Roman"/>
        </w:rPr>
        <w:t xml:space="preserve"> 38369/09), </w:t>
      </w:r>
      <w:r w:rsidR="00CF0E0B">
        <w:rPr>
          <w:rFonts w:ascii="Times New Roman" w:hAnsi="Times New Roman" w:cs="Times New Roman"/>
        </w:rPr>
        <w:t>§</w:t>
      </w:r>
      <w:r w:rsidR="00CF0E0B" w:rsidRPr="00533127">
        <w:rPr>
          <w:rFonts w:ascii="Times New Roman" w:hAnsi="Times New Roman" w:cs="Times New Roman"/>
        </w:rPr>
        <w:t xml:space="preserve">69-73; </w:t>
      </w:r>
      <w:r w:rsidR="00CF0E0B" w:rsidRPr="00533127">
        <w:rPr>
          <w:rFonts w:ascii="Times New Roman" w:hAnsi="Times New Roman" w:cs="Times New Roman"/>
          <w:i/>
          <w:iCs/>
        </w:rPr>
        <w:t>Dhahbi v. Italy</w:t>
      </w:r>
      <w:r w:rsidR="00CF0E0B" w:rsidRPr="00533127">
        <w:rPr>
          <w:rFonts w:ascii="Times New Roman" w:hAnsi="Times New Roman" w:cs="Times New Roman"/>
        </w:rPr>
        <w:t xml:space="preserve"> (n</w:t>
      </w:r>
      <w:r w:rsidR="00CF0E0B">
        <w:rPr>
          <w:rFonts w:ascii="Times New Roman" w:hAnsi="Times New Roman" w:cs="Times New Roman"/>
        </w:rPr>
        <w:t>º</w:t>
      </w:r>
      <w:r w:rsidR="00CF0E0B" w:rsidRPr="00533127">
        <w:rPr>
          <w:rFonts w:ascii="Times New Roman" w:hAnsi="Times New Roman" w:cs="Times New Roman"/>
        </w:rPr>
        <w:t xml:space="preserve"> 17120/09), </w:t>
      </w:r>
      <w:r w:rsidR="00CF0E0B">
        <w:rPr>
          <w:rFonts w:ascii="Times New Roman" w:hAnsi="Times New Roman" w:cs="Times New Roman"/>
        </w:rPr>
        <w:t>§</w:t>
      </w:r>
      <w:r w:rsidR="00CF0E0B" w:rsidRPr="00533127">
        <w:rPr>
          <w:rFonts w:ascii="Times New Roman" w:hAnsi="Times New Roman" w:cs="Times New Roman"/>
        </w:rPr>
        <w:t xml:space="preserve">30-34; </w:t>
      </w:r>
      <w:r w:rsidR="00CF0E0B" w:rsidRPr="00533127">
        <w:rPr>
          <w:rFonts w:ascii="Times New Roman" w:hAnsi="Times New Roman" w:cs="Times New Roman"/>
          <w:i/>
          <w:iCs/>
        </w:rPr>
        <w:t xml:space="preserve">Sanofi Pasteur v. France </w:t>
      </w:r>
      <w:r w:rsidR="00CF0E0B" w:rsidRPr="00533127">
        <w:rPr>
          <w:rFonts w:ascii="Times New Roman" w:hAnsi="Times New Roman" w:cs="Times New Roman"/>
        </w:rPr>
        <w:t>(n</w:t>
      </w:r>
      <w:r w:rsidR="00CF0E0B">
        <w:rPr>
          <w:rFonts w:ascii="Times New Roman" w:hAnsi="Times New Roman" w:cs="Times New Roman"/>
        </w:rPr>
        <w:t xml:space="preserve">º </w:t>
      </w:r>
      <w:r w:rsidR="00CF0E0B" w:rsidRPr="00533127">
        <w:rPr>
          <w:rFonts w:ascii="Times New Roman" w:hAnsi="Times New Roman" w:cs="Times New Roman"/>
        </w:rPr>
        <w:t xml:space="preserve">25137/16), </w:t>
      </w:r>
      <w:r w:rsidR="00CF0E0B">
        <w:rPr>
          <w:rFonts w:ascii="Times New Roman" w:hAnsi="Times New Roman" w:cs="Times New Roman"/>
        </w:rPr>
        <w:t>§</w:t>
      </w:r>
      <w:r w:rsidR="00CF0E0B" w:rsidRPr="00533127">
        <w:rPr>
          <w:rFonts w:ascii="Times New Roman" w:hAnsi="Times New Roman" w:cs="Times New Roman"/>
        </w:rPr>
        <w:t>68-81</w:t>
      </w:r>
      <w:r w:rsidR="0079003B">
        <w:rPr>
          <w:rFonts w:ascii="Times New Roman" w:hAnsi="Times New Roman" w:cs="Times New Roman"/>
        </w:rPr>
        <w:t xml:space="preserve">. Sobre a interpretação da obrigação de submeter um pedido de interpretação ao TJUE, </w:t>
      </w:r>
      <w:r w:rsidR="0079003B" w:rsidRPr="00533127">
        <w:rPr>
          <w:rFonts w:ascii="Times New Roman" w:hAnsi="Times New Roman" w:cs="Times New Roman"/>
        </w:rPr>
        <w:t xml:space="preserve">C-224/01 </w:t>
      </w:r>
      <w:r w:rsidR="0079003B">
        <w:rPr>
          <w:rFonts w:ascii="Times New Roman" w:hAnsi="Times New Roman" w:cs="Times New Roman"/>
        </w:rPr>
        <w:t>(</w:t>
      </w:r>
      <w:r w:rsidR="0079003B" w:rsidRPr="00533127">
        <w:rPr>
          <w:rFonts w:ascii="Times New Roman" w:hAnsi="Times New Roman" w:cs="Times New Roman"/>
          <w:i/>
          <w:iCs/>
        </w:rPr>
        <w:t>Köbler</w:t>
      </w:r>
      <w:r w:rsidR="0079003B">
        <w:rPr>
          <w:rFonts w:ascii="Times New Roman" w:hAnsi="Times New Roman" w:cs="Times New Roman"/>
        </w:rPr>
        <w:t>)</w:t>
      </w:r>
      <w:r w:rsidR="0079003B" w:rsidRPr="00533127">
        <w:rPr>
          <w:rFonts w:ascii="Times New Roman" w:hAnsi="Times New Roman" w:cs="Times New Roman"/>
        </w:rPr>
        <w:t xml:space="preserve">, </w:t>
      </w:r>
      <w:r w:rsidR="0079003B">
        <w:rPr>
          <w:rFonts w:ascii="Times New Roman" w:hAnsi="Times New Roman" w:cs="Times New Roman"/>
        </w:rPr>
        <w:t>§</w:t>
      </w:r>
      <w:r w:rsidR="0079003B" w:rsidRPr="00230EC3">
        <w:rPr>
          <w:rFonts w:ascii="Times New Roman" w:hAnsi="Times New Roman" w:cs="Times New Roman"/>
        </w:rPr>
        <w:t xml:space="preserve">53-55/117-118; C-495/03 </w:t>
      </w:r>
      <w:r w:rsidR="0079003B">
        <w:rPr>
          <w:rFonts w:ascii="Times New Roman" w:hAnsi="Times New Roman" w:cs="Times New Roman"/>
        </w:rPr>
        <w:t>(</w:t>
      </w:r>
      <w:r w:rsidR="0079003B" w:rsidRPr="00230EC3">
        <w:rPr>
          <w:rFonts w:ascii="Times New Roman" w:hAnsi="Times New Roman" w:cs="Times New Roman"/>
          <w:i/>
          <w:iCs/>
        </w:rPr>
        <w:t>Intermodal Transports</w:t>
      </w:r>
      <w:r w:rsidR="0079003B">
        <w:rPr>
          <w:rFonts w:ascii="Times New Roman" w:hAnsi="Times New Roman" w:cs="Times New Roman"/>
        </w:rPr>
        <w:t>)</w:t>
      </w:r>
      <w:r w:rsidR="0079003B" w:rsidRPr="00230EC3">
        <w:rPr>
          <w:rFonts w:ascii="Times New Roman" w:hAnsi="Times New Roman" w:cs="Times New Roman"/>
        </w:rPr>
        <w:t xml:space="preserve">, </w:t>
      </w:r>
      <w:r w:rsidR="0079003B">
        <w:rPr>
          <w:rFonts w:ascii="Times New Roman" w:hAnsi="Times New Roman" w:cs="Times New Roman"/>
        </w:rPr>
        <w:t>§</w:t>
      </w:r>
      <w:r w:rsidR="0079003B" w:rsidRPr="00230EC3">
        <w:rPr>
          <w:rFonts w:ascii="Times New Roman" w:hAnsi="Times New Roman" w:cs="Times New Roman"/>
        </w:rPr>
        <w:t xml:space="preserve">28-45; C-173/03 </w:t>
      </w:r>
      <w:r w:rsidR="0079003B">
        <w:rPr>
          <w:rFonts w:ascii="Times New Roman" w:hAnsi="Times New Roman" w:cs="Times New Roman"/>
        </w:rPr>
        <w:t>(</w:t>
      </w:r>
      <w:r w:rsidR="0079003B" w:rsidRPr="00230EC3">
        <w:rPr>
          <w:rFonts w:ascii="Times New Roman" w:hAnsi="Times New Roman" w:cs="Times New Roman"/>
          <w:i/>
          <w:iCs/>
        </w:rPr>
        <w:t>Traghetti del Mediterraneo</w:t>
      </w:r>
      <w:r w:rsidR="0079003B">
        <w:rPr>
          <w:rFonts w:ascii="Times New Roman" w:hAnsi="Times New Roman" w:cs="Times New Roman"/>
        </w:rPr>
        <w:t>)</w:t>
      </w:r>
      <w:r w:rsidR="0079003B" w:rsidRPr="00230EC3">
        <w:rPr>
          <w:rFonts w:ascii="Times New Roman" w:hAnsi="Times New Roman" w:cs="Times New Roman"/>
        </w:rPr>
        <w:t xml:space="preserve">, </w:t>
      </w:r>
      <w:r w:rsidR="0079003B">
        <w:rPr>
          <w:rFonts w:ascii="Times New Roman" w:hAnsi="Times New Roman" w:cs="Times New Roman"/>
        </w:rPr>
        <w:t>§</w:t>
      </w:r>
      <w:r w:rsidR="0079003B" w:rsidRPr="00230EC3">
        <w:rPr>
          <w:rFonts w:ascii="Times New Roman" w:hAnsi="Times New Roman" w:cs="Times New Roman"/>
        </w:rPr>
        <w:t xml:space="preserve">32 </w:t>
      </w:r>
      <w:r w:rsidR="0079003B">
        <w:rPr>
          <w:rFonts w:ascii="Times New Roman" w:hAnsi="Times New Roman" w:cs="Times New Roman"/>
        </w:rPr>
        <w:t>ss</w:t>
      </w:r>
      <w:r w:rsidR="0079003B" w:rsidRPr="00230EC3">
        <w:rPr>
          <w:rFonts w:ascii="Times New Roman" w:hAnsi="Times New Roman" w:cs="Times New Roman"/>
        </w:rPr>
        <w:t>; C</w:t>
      </w:r>
      <w:r w:rsidR="0079003B" w:rsidRPr="00230EC3">
        <w:rPr>
          <w:rFonts w:ascii="Times New Roman" w:hAnsi="Times New Roman" w:cs="Times New Roman"/>
        </w:rPr>
        <w:noBreakHyphen/>
        <w:t xml:space="preserve">160/14 </w:t>
      </w:r>
      <w:r w:rsidR="0079003B">
        <w:rPr>
          <w:rFonts w:ascii="Times New Roman" w:hAnsi="Times New Roman" w:cs="Times New Roman"/>
        </w:rPr>
        <w:t>(</w:t>
      </w:r>
      <w:r w:rsidR="0079003B" w:rsidRPr="00230EC3">
        <w:rPr>
          <w:rFonts w:ascii="Times New Roman" w:hAnsi="Times New Roman" w:cs="Times New Roman"/>
          <w:i/>
          <w:iCs/>
        </w:rPr>
        <w:t>Silva e Brito</w:t>
      </w:r>
      <w:r w:rsidR="0079003B">
        <w:rPr>
          <w:rFonts w:ascii="Times New Roman" w:hAnsi="Times New Roman" w:cs="Times New Roman"/>
        </w:rPr>
        <w:t>)</w:t>
      </w:r>
      <w:r w:rsidR="0079003B" w:rsidRPr="00230EC3">
        <w:rPr>
          <w:rFonts w:ascii="Times New Roman" w:hAnsi="Times New Roman" w:cs="Times New Roman"/>
        </w:rPr>
        <w:t xml:space="preserve">, </w:t>
      </w:r>
      <w:r w:rsidR="0079003B">
        <w:rPr>
          <w:rFonts w:ascii="Times New Roman" w:hAnsi="Times New Roman" w:cs="Times New Roman"/>
        </w:rPr>
        <w:t>§</w:t>
      </w:r>
      <w:r w:rsidR="0079003B" w:rsidRPr="00230EC3">
        <w:rPr>
          <w:rFonts w:ascii="Times New Roman" w:hAnsi="Times New Roman" w:cs="Times New Roman"/>
        </w:rPr>
        <w:t>36-45; C</w:t>
      </w:r>
      <w:r w:rsidR="0079003B" w:rsidRPr="00230EC3">
        <w:rPr>
          <w:rFonts w:ascii="Times New Roman" w:hAnsi="Times New Roman" w:cs="Times New Roman"/>
        </w:rPr>
        <w:noBreakHyphen/>
        <w:t xml:space="preserve">416/17 </w:t>
      </w:r>
      <w:r w:rsidR="0079003B">
        <w:rPr>
          <w:rFonts w:ascii="Times New Roman" w:hAnsi="Times New Roman" w:cs="Times New Roman"/>
        </w:rPr>
        <w:t>(</w:t>
      </w:r>
      <w:r w:rsidR="0079003B" w:rsidRPr="00230EC3">
        <w:rPr>
          <w:rFonts w:ascii="Times New Roman" w:hAnsi="Times New Roman" w:cs="Times New Roman"/>
          <w:i/>
          <w:iCs/>
        </w:rPr>
        <w:t>Commission/France</w:t>
      </w:r>
      <w:r w:rsidR="0079003B">
        <w:rPr>
          <w:rFonts w:ascii="Times New Roman" w:hAnsi="Times New Roman" w:cs="Times New Roman"/>
        </w:rPr>
        <w:t>)</w:t>
      </w:r>
      <w:r w:rsidR="0079003B" w:rsidRPr="00230EC3">
        <w:rPr>
          <w:rFonts w:ascii="Times New Roman" w:hAnsi="Times New Roman" w:cs="Times New Roman"/>
        </w:rPr>
        <w:t xml:space="preserve">, </w:t>
      </w:r>
      <w:r w:rsidR="0079003B">
        <w:rPr>
          <w:rFonts w:ascii="Times New Roman" w:hAnsi="Times New Roman" w:cs="Times New Roman"/>
        </w:rPr>
        <w:t>§</w:t>
      </w:r>
      <w:r w:rsidR="0079003B" w:rsidRPr="00230EC3">
        <w:rPr>
          <w:rFonts w:ascii="Times New Roman" w:hAnsi="Times New Roman" w:cs="Times New Roman"/>
        </w:rPr>
        <w:t xml:space="preserve">105 </w:t>
      </w:r>
      <w:r w:rsidR="0079003B">
        <w:rPr>
          <w:rFonts w:ascii="Times New Roman" w:hAnsi="Times New Roman" w:cs="Times New Roman"/>
        </w:rPr>
        <w:t>ss</w:t>
      </w:r>
      <w:r w:rsidR="0079003B" w:rsidRPr="00230EC3">
        <w:rPr>
          <w:rFonts w:ascii="Times New Roman" w:hAnsi="Times New Roman" w:cs="Times New Roman"/>
        </w:rPr>
        <w:t>; C</w:t>
      </w:r>
      <w:r w:rsidR="0079003B" w:rsidRPr="00230EC3">
        <w:rPr>
          <w:rFonts w:ascii="Times New Roman" w:hAnsi="Times New Roman" w:cs="Times New Roman"/>
        </w:rPr>
        <w:noBreakHyphen/>
        <w:t xml:space="preserve">561/19 </w:t>
      </w:r>
      <w:r w:rsidR="0079003B">
        <w:rPr>
          <w:rFonts w:ascii="Times New Roman" w:hAnsi="Times New Roman" w:cs="Times New Roman"/>
        </w:rPr>
        <w:t>(</w:t>
      </w:r>
      <w:r w:rsidR="0079003B" w:rsidRPr="00230EC3">
        <w:rPr>
          <w:rFonts w:ascii="Times New Roman" w:hAnsi="Times New Roman" w:cs="Times New Roman"/>
          <w:i/>
          <w:iCs/>
        </w:rPr>
        <w:t>Consorzio Italian Management</w:t>
      </w:r>
      <w:r w:rsidR="0079003B">
        <w:rPr>
          <w:rFonts w:ascii="Times New Roman" w:hAnsi="Times New Roman" w:cs="Times New Roman"/>
        </w:rPr>
        <w:t>)</w:t>
      </w:r>
      <w:r w:rsidR="0079003B" w:rsidRPr="00230EC3">
        <w:rPr>
          <w:rFonts w:ascii="Times New Roman" w:hAnsi="Times New Roman" w:cs="Times New Roman"/>
        </w:rPr>
        <w:t xml:space="preserve">, </w:t>
      </w:r>
      <w:r w:rsidR="0079003B">
        <w:rPr>
          <w:rFonts w:ascii="Times New Roman" w:hAnsi="Times New Roman" w:cs="Times New Roman"/>
        </w:rPr>
        <w:t>§</w:t>
      </w:r>
      <w:r w:rsidR="0079003B" w:rsidRPr="00533127">
        <w:rPr>
          <w:rFonts w:ascii="Times New Roman" w:hAnsi="Times New Roman" w:cs="Times New Roman"/>
        </w:rPr>
        <w:t>33-66</w:t>
      </w:r>
      <w:r w:rsidR="0079003B">
        <w:rPr>
          <w:rFonts w:ascii="Times New Roman" w:hAnsi="Times New Roman" w:cs="Times New Roman"/>
        </w:rPr>
        <w:t>.</w:t>
      </w:r>
    </w:p>
  </w:footnote>
  <w:footnote w:id="44">
    <w:p w14:paraId="130B1BA0" w14:textId="5E34A767" w:rsidR="0079466C" w:rsidRPr="002338D7" w:rsidRDefault="0079466C" w:rsidP="0021327D">
      <w:pPr>
        <w:pStyle w:val="Textonotapie"/>
        <w:jc w:val="both"/>
        <w:rPr>
          <w:rFonts w:ascii="Times New Roman" w:hAnsi="Times New Roman" w:cs="Times New Roman"/>
          <w:lang w:val="en-US"/>
        </w:rPr>
      </w:pPr>
      <w:r>
        <w:rPr>
          <w:rStyle w:val="Refdenotaalpie"/>
        </w:rPr>
        <w:footnoteRef/>
      </w:r>
      <w:r w:rsidRPr="00630961">
        <w:rPr>
          <w:lang w:val="en-US"/>
        </w:rPr>
        <w:t xml:space="preserve"> </w:t>
      </w:r>
      <w:proofErr w:type="gramStart"/>
      <w:r w:rsidR="0021327D" w:rsidRPr="00630961">
        <w:rPr>
          <w:rFonts w:ascii="Times New Roman" w:hAnsi="Times New Roman" w:cs="Times New Roman"/>
          <w:lang w:val="en-US"/>
        </w:rPr>
        <w:t xml:space="preserve">Como </w:t>
      </w:r>
      <w:proofErr w:type="spellStart"/>
      <w:r w:rsidR="0021327D" w:rsidRPr="00630961">
        <w:rPr>
          <w:rFonts w:ascii="Times New Roman" w:hAnsi="Times New Roman" w:cs="Times New Roman"/>
          <w:lang w:val="en-US"/>
        </w:rPr>
        <w:t>ilustrado</w:t>
      </w:r>
      <w:proofErr w:type="spellEnd"/>
      <w:r w:rsidR="0021327D" w:rsidRPr="00630961">
        <w:rPr>
          <w:rFonts w:ascii="Times New Roman" w:hAnsi="Times New Roman" w:cs="Times New Roman"/>
          <w:lang w:val="en-US"/>
        </w:rPr>
        <w:t xml:space="preserve"> pela </w:t>
      </w:r>
      <w:proofErr w:type="spellStart"/>
      <w:r w:rsidR="0021327D" w:rsidRPr="00630961">
        <w:rPr>
          <w:rFonts w:ascii="Times New Roman" w:hAnsi="Times New Roman" w:cs="Times New Roman"/>
          <w:lang w:val="en-US"/>
        </w:rPr>
        <w:t>conclusão</w:t>
      </w:r>
      <w:proofErr w:type="spellEnd"/>
      <w:r w:rsidR="0021327D" w:rsidRPr="00630961">
        <w:rPr>
          <w:rFonts w:ascii="Times New Roman" w:hAnsi="Times New Roman" w:cs="Times New Roman"/>
          <w:lang w:val="en-US"/>
        </w:rPr>
        <w:t xml:space="preserve"> do TJUE no </w:t>
      </w:r>
      <w:proofErr w:type="spellStart"/>
      <w:r w:rsidR="0021327D" w:rsidRPr="00630961">
        <w:rPr>
          <w:rFonts w:ascii="Times New Roman" w:hAnsi="Times New Roman" w:cs="Times New Roman"/>
          <w:lang w:val="en-US"/>
        </w:rPr>
        <w:t>caso</w:t>
      </w:r>
      <w:proofErr w:type="spellEnd"/>
      <w:r w:rsidR="0021327D" w:rsidRPr="00630961">
        <w:rPr>
          <w:rFonts w:ascii="Times New Roman" w:hAnsi="Times New Roman" w:cs="Times New Roman"/>
          <w:lang w:val="en-US"/>
        </w:rPr>
        <w:t xml:space="preserve"> C</w:t>
      </w:r>
      <w:r w:rsidR="0021327D" w:rsidRPr="00630961">
        <w:rPr>
          <w:rFonts w:ascii="Times New Roman" w:hAnsi="Times New Roman" w:cs="Times New Roman"/>
          <w:lang w:val="en-US"/>
        </w:rPr>
        <w:noBreakHyphen/>
        <w:t>480/21 (</w:t>
      </w:r>
      <w:r w:rsidR="0021327D" w:rsidRPr="00630961">
        <w:rPr>
          <w:rFonts w:ascii="Times New Roman" w:hAnsi="Times New Roman" w:cs="Times New Roman"/>
          <w:i/>
          <w:iCs/>
          <w:lang w:val="en-US"/>
        </w:rPr>
        <w:t>W.O and J. L.</w:t>
      </w:r>
      <w:r w:rsidR="0021327D" w:rsidRPr="00630961">
        <w:rPr>
          <w:rFonts w:ascii="Times New Roman" w:hAnsi="Times New Roman" w:cs="Times New Roman"/>
          <w:lang w:val="en-US"/>
        </w:rPr>
        <w:t>)</w:t>
      </w:r>
      <w:r w:rsidR="0021327D" w:rsidRPr="002338D7">
        <w:rPr>
          <w:rFonts w:ascii="Times New Roman" w:hAnsi="Times New Roman" w:cs="Times New Roman"/>
          <w:lang w:val="en-US"/>
        </w:rPr>
        <w:t>, §46: “</w:t>
      </w:r>
      <w:r w:rsidR="002338D7" w:rsidRPr="002338D7">
        <w:rPr>
          <w:rFonts w:ascii="Times New Roman" w:hAnsi="Times New Roman" w:cs="Times New Roman"/>
          <w:lang w:val="en-US"/>
        </w:rPr>
        <w:t>any assessment of the facts of the case is a matter for the national court […] while the Court is empowered to give rulings on the interpretation or the validity of an EU provision only on the basis of the facts which the national court puts before it”.</w:t>
      </w:r>
      <w:proofErr w:type="gramEnd"/>
    </w:p>
  </w:footnote>
  <w:footnote w:id="45">
    <w:p w14:paraId="0A750797" w14:textId="0B84D1BF" w:rsidR="0079466C" w:rsidRPr="002338D7" w:rsidRDefault="0079466C">
      <w:pPr>
        <w:pStyle w:val="Textonotapie"/>
        <w:rPr>
          <w:rFonts w:ascii="Times New Roman" w:hAnsi="Times New Roman" w:cs="Times New Roman"/>
        </w:rPr>
      </w:pPr>
      <w:r>
        <w:rPr>
          <w:rStyle w:val="Refdenotaalpie"/>
        </w:rPr>
        <w:footnoteRef/>
      </w:r>
      <w:r>
        <w:t xml:space="preserve"> </w:t>
      </w:r>
      <w:r w:rsidR="002338D7">
        <w:rPr>
          <w:rFonts w:ascii="Times New Roman" w:hAnsi="Times New Roman" w:cs="Times New Roman"/>
        </w:rPr>
        <w:t>Ainda que um importante passo tenha sido dado com a adopção da Procuradoria Europeia (EPPO).</w:t>
      </w:r>
    </w:p>
  </w:footnote>
  <w:footnote w:id="46">
    <w:p w14:paraId="189D9AEF" w14:textId="14FE2137" w:rsidR="002A473F" w:rsidRPr="002A473F" w:rsidRDefault="002A473F" w:rsidP="002A473F">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Exemplificativamente, Vânia Costa Ramos e Diana Silva Pereira (2024). Outro aspecto em que tal recurso poderia ser útil seria </w:t>
      </w:r>
      <w:r>
        <w:rPr>
          <w:rFonts w:ascii="Times New Roman" w:hAnsi="Times New Roman" w:cs="Times New Roman"/>
        </w:rPr>
        <w:t>na responsabilidade da Frontex, a agência da UE responsável por providenciar apoio aos EM na segurança das fronteiras externas da UE – sobre o tópico, p. ex., Elspeth Guild (2024).</w:t>
      </w:r>
    </w:p>
  </w:footnote>
  <w:footnote w:id="47">
    <w:p w14:paraId="0A63C34A" w14:textId="4C804300" w:rsidR="004F3F2A" w:rsidRDefault="004F3F2A">
      <w:pPr>
        <w:pStyle w:val="Textonotapie"/>
      </w:pPr>
      <w:r>
        <w:rPr>
          <w:rStyle w:val="Refdenotaalpie"/>
        </w:rPr>
        <w:footnoteRef/>
      </w:r>
      <w:r>
        <w:t xml:space="preserve"> </w:t>
      </w:r>
      <w:bookmarkStart w:id="5" w:name="_Hlk195172131"/>
      <w:r w:rsidRPr="004F3F2A">
        <w:rPr>
          <w:rFonts w:ascii="Times New Roman" w:hAnsi="Times New Roman" w:cs="Times New Roman"/>
        </w:rPr>
        <w:t>C-25/62 </w:t>
      </w:r>
      <w:r>
        <w:rPr>
          <w:rFonts w:ascii="Times New Roman" w:hAnsi="Times New Roman" w:cs="Times New Roman"/>
        </w:rPr>
        <w:t>(</w:t>
      </w:r>
      <w:r w:rsidRPr="004F3F2A">
        <w:rPr>
          <w:rFonts w:ascii="Times New Roman" w:hAnsi="Times New Roman" w:cs="Times New Roman"/>
          <w:i/>
          <w:iCs/>
        </w:rPr>
        <w:t>Plaumann</w:t>
      </w:r>
      <w:r>
        <w:rPr>
          <w:rFonts w:ascii="Times New Roman" w:hAnsi="Times New Roman" w:cs="Times New Roman"/>
        </w:rPr>
        <w:t>)</w:t>
      </w:r>
      <w:r w:rsidR="00630961">
        <w:rPr>
          <w:rFonts w:ascii="Times New Roman" w:hAnsi="Times New Roman" w:cs="Times New Roman"/>
        </w:rPr>
        <w:t>.</w:t>
      </w:r>
    </w:p>
    <w:bookmarkEnd w:id="5"/>
  </w:footnote>
  <w:footnote w:id="48">
    <w:p w14:paraId="668C4AF3" w14:textId="66C1E8E5" w:rsidR="002B2466" w:rsidRDefault="002B2466">
      <w:pPr>
        <w:pStyle w:val="Textonotapie"/>
      </w:pPr>
      <w:r>
        <w:rPr>
          <w:rStyle w:val="Refdenotaalpie"/>
        </w:rPr>
        <w:footnoteRef/>
      </w:r>
      <w:r>
        <w:t xml:space="preserve"> </w:t>
      </w:r>
      <w:r w:rsidRPr="002B2466">
        <w:rPr>
          <w:rFonts w:ascii="Times New Roman" w:hAnsi="Times New Roman" w:cs="Times New Roman"/>
        </w:rPr>
        <w:t>CURIA – Presentation – CJEU</w:t>
      </w:r>
      <w:r w:rsidR="008B63F3">
        <w:rPr>
          <w:rFonts w:ascii="Times New Roman" w:hAnsi="Times New Roman" w:cs="Times New Roman"/>
        </w:rPr>
        <w:t>.</w:t>
      </w:r>
      <w:r w:rsidR="008B63F3">
        <w:t xml:space="preserve"> </w:t>
      </w:r>
    </w:p>
  </w:footnote>
  <w:footnote w:id="49">
    <w:p w14:paraId="6109EC74" w14:textId="35C92EA6" w:rsidR="001D5C40" w:rsidRPr="001D5C40" w:rsidRDefault="001D5C40">
      <w:pPr>
        <w:pStyle w:val="Textonotapie"/>
        <w:rPr>
          <w:rFonts w:ascii="Times New Roman" w:hAnsi="Times New Roman" w:cs="Times New Roman"/>
        </w:rPr>
      </w:pPr>
      <w:r>
        <w:rPr>
          <w:rStyle w:val="Refdenotaalpie"/>
        </w:rPr>
        <w:footnoteRef/>
      </w:r>
      <w:r w:rsidRPr="001D5C40">
        <w:t xml:space="preserve"> </w:t>
      </w:r>
      <w:r w:rsidRPr="001D5C40">
        <w:rPr>
          <w:rFonts w:ascii="Times New Roman" w:hAnsi="Times New Roman" w:cs="Times New Roman"/>
        </w:rPr>
        <w:t xml:space="preserve">Em mais detalhe, </w:t>
      </w:r>
      <w:r w:rsidRPr="001D5C40">
        <w:rPr>
          <w:rFonts w:ascii="Sylfaen" w:hAnsi="Sylfaen"/>
        </w:rPr>
        <w:t>Raquel Cardoso (2024)</w:t>
      </w:r>
      <w:r>
        <w:rPr>
          <w:rFonts w:ascii="Sylfaen" w:hAnsi="Sylfaen"/>
        </w:rPr>
        <w:t>.</w:t>
      </w:r>
      <w:r w:rsidRPr="001D5C40">
        <w:rPr>
          <w:rFonts w:ascii="Times New Roman" w:hAnsi="Times New Roman" w:cs="Times New Roman"/>
        </w:rPr>
        <w:t xml:space="preserve"> </w:t>
      </w:r>
    </w:p>
  </w:footnote>
  <w:footnote w:id="50">
    <w:p w14:paraId="61F472A0" w14:textId="6F973089" w:rsidR="0083673F" w:rsidRPr="0083673F" w:rsidRDefault="0083673F" w:rsidP="0083673F">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Utilizando inclusive a mesma formulação: </w:t>
      </w:r>
      <w:r w:rsidRPr="0083673F">
        <w:rPr>
          <w:rFonts w:ascii="Times New Roman" w:hAnsi="Times New Roman" w:cs="Times New Roman"/>
        </w:rPr>
        <w:t xml:space="preserve">C-411/10 e C-493/10 </w:t>
      </w:r>
      <w:r>
        <w:rPr>
          <w:rFonts w:ascii="Times New Roman" w:hAnsi="Times New Roman" w:cs="Times New Roman"/>
        </w:rPr>
        <w:t>(</w:t>
      </w:r>
      <w:r w:rsidRPr="0083673F">
        <w:rPr>
          <w:rFonts w:ascii="Times New Roman" w:hAnsi="Times New Roman" w:cs="Times New Roman"/>
          <w:i/>
          <w:iCs/>
        </w:rPr>
        <w:t>N.S. and Others</w:t>
      </w:r>
      <w:r w:rsidRPr="0083673F">
        <w:rPr>
          <w:rFonts w:ascii="Times New Roman" w:hAnsi="Times New Roman" w:cs="Times New Roman"/>
        </w:rPr>
        <w:t xml:space="preserve">, </w:t>
      </w:r>
      <w:r>
        <w:rPr>
          <w:rFonts w:ascii="Times New Roman" w:hAnsi="Times New Roman" w:cs="Times New Roman"/>
        </w:rPr>
        <w:t>§</w:t>
      </w:r>
      <w:r w:rsidRPr="0083673F">
        <w:rPr>
          <w:rFonts w:ascii="Times New Roman" w:hAnsi="Times New Roman" w:cs="Times New Roman"/>
        </w:rPr>
        <w:t xml:space="preserve"> 94</w:t>
      </w:r>
      <w:r>
        <w:rPr>
          <w:rFonts w:ascii="Times New Roman" w:hAnsi="Times New Roman" w:cs="Times New Roman"/>
        </w:rPr>
        <w:t>.</w:t>
      </w:r>
    </w:p>
  </w:footnote>
  <w:footnote w:id="51">
    <w:p w14:paraId="11B92BEE" w14:textId="7CE7F944" w:rsidR="00D31CC4" w:rsidRPr="00D31CC4" w:rsidRDefault="00D31CC4">
      <w:pPr>
        <w:pStyle w:val="Textonotapie"/>
        <w:rPr>
          <w:rFonts w:ascii="Times New Roman" w:hAnsi="Times New Roman" w:cs="Times New Roman"/>
        </w:rPr>
      </w:pPr>
      <w:r>
        <w:rPr>
          <w:rStyle w:val="Refdenotaalpie"/>
        </w:rPr>
        <w:footnoteRef/>
      </w:r>
      <w:r>
        <w:t xml:space="preserve"> </w:t>
      </w:r>
      <w:r w:rsidRPr="00D31CC4">
        <w:rPr>
          <w:rFonts w:ascii="Times New Roman" w:hAnsi="Times New Roman" w:cs="Times New Roman"/>
        </w:rPr>
        <w:t xml:space="preserve">C-128/18 </w:t>
      </w:r>
      <w:r>
        <w:rPr>
          <w:rFonts w:ascii="Times New Roman" w:hAnsi="Times New Roman" w:cs="Times New Roman"/>
        </w:rPr>
        <w:t>(</w:t>
      </w:r>
      <w:r w:rsidRPr="00D31CC4">
        <w:rPr>
          <w:rFonts w:ascii="Times New Roman" w:hAnsi="Times New Roman" w:cs="Times New Roman"/>
          <w:i/>
          <w:iCs/>
        </w:rPr>
        <w:t>Dorobantu</w:t>
      </w:r>
      <w:r w:rsidR="00630961">
        <w:rPr>
          <w:rFonts w:ascii="Times New Roman" w:hAnsi="Times New Roman" w:cs="Times New Roman"/>
        </w:rPr>
        <w:t>)</w:t>
      </w:r>
      <w:r w:rsidRPr="00D31CC4">
        <w:rPr>
          <w:rFonts w:ascii="Times New Roman" w:hAnsi="Times New Roman" w:cs="Times New Roman"/>
        </w:rPr>
        <w:t xml:space="preserve">, </w:t>
      </w:r>
      <w:r>
        <w:rPr>
          <w:rFonts w:ascii="Times New Roman" w:hAnsi="Times New Roman" w:cs="Times New Roman"/>
        </w:rPr>
        <w:t>§</w:t>
      </w:r>
      <w:r w:rsidRPr="00D31CC4">
        <w:rPr>
          <w:rFonts w:ascii="Times New Roman" w:hAnsi="Times New Roman" w:cs="Times New Roman"/>
        </w:rPr>
        <w:t xml:space="preserve"> 57</w:t>
      </w:r>
      <w:r>
        <w:rPr>
          <w:rFonts w:ascii="Times New Roman" w:hAnsi="Times New Roman" w:cs="Times New Roman"/>
        </w:rPr>
        <w:t>.</w:t>
      </w:r>
    </w:p>
  </w:footnote>
  <w:footnote w:id="52">
    <w:p w14:paraId="76186676" w14:textId="7FD325AD" w:rsidR="00AE1E18" w:rsidRPr="00475FD6" w:rsidRDefault="00AE1E18" w:rsidP="00475FD6">
      <w:pPr>
        <w:spacing w:after="0" w:line="240" w:lineRule="auto"/>
        <w:jc w:val="both"/>
        <w:rPr>
          <w:sz w:val="20"/>
          <w:szCs w:val="20"/>
        </w:rPr>
      </w:pPr>
      <w:r>
        <w:rPr>
          <w:rStyle w:val="Refdenotaalpie"/>
        </w:rPr>
        <w:footnoteRef/>
      </w:r>
      <w:r>
        <w:t xml:space="preserve"> </w:t>
      </w:r>
      <w:r w:rsidR="008410BA" w:rsidRPr="008410BA">
        <w:rPr>
          <w:rFonts w:ascii="Times New Roman" w:hAnsi="Times New Roman" w:cs="Times New Roman"/>
          <w:sz w:val="20"/>
          <w:szCs w:val="20"/>
        </w:rPr>
        <w:t>C-699/21 (</w:t>
      </w:r>
      <w:r w:rsidR="008410BA" w:rsidRPr="008410BA">
        <w:rPr>
          <w:rFonts w:ascii="Times New Roman" w:hAnsi="Times New Roman" w:cs="Times New Roman"/>
          <w:i/>
          <w:iCs/>
          <w:sz w:val="20"/>
          <w:szCs w:val="20"/>
        </w:rPr>
        <w:t>E. D. L.</w:t>
      </w:r>
      <w:r w:rsidR="008410BA" w:rsidRPr="008410BA">
        <w:rPr>
          <w:rFonts w:ascii="Times New Roman" w:hAnsi="Times New Roman" w:cs="Times New Roman"/>
          <w:sz w:val="20"/>
          <w:szCs w:val="20"/>
        </w:rPr>
        <w:t xml:space="preserve">), </w:t>
      </w:r>
      <w:r w:rsidR="008410BA">
        <w:rPr>
          <w:rFonts w:ascii="Times New Roman" w:hAnsi="Times New Roman" w:cs="Times New Roman"/>
          <w:sz w:val="20"/>
          <w:szCs w:val="20"/>
        </w:rPr>
        <w:t xml:space="preserve">§ </w:t>
      </w:r>
      <w:r w:rsidR="008410BA" w:rsidRPr="008410BA">
        <w:rPr>
          <w:rFonts w:ascii="Times New Roman" w:hAnsi="Times New Roman" w:cs="Times New Roman"/>
          <w:sz w:val="20"/>
          <w:szCs w:val="20"/>
        </w:rPr>
        <w:t>50</w:t>
      </w:r>
      <w:r w:rsidR="008410BA">
        <w:rPr>
          <w:rFonts w:ascii="Times New Roman" w:hAnsi="Times New Roman" w:cs="Times New Roman"/>
          <w:sz w:val="20"/>
          <w:szCs w:val="20"/>
        </w:rPr>
        <w:t xml:space="preserve">. Essa conclusão havia sido algo precedida, já em 2017, por aquela do caso </w:t>
      </w:r>
      <w:r w:rsidR="008410BA" w:rsidRPr="008410BA">
        <w:rPr>
          <w:rFonts w:ascii="Times New Roman" w:hAnsi="Times New Roman" w:cs="Times New Roman"/>
          <w:sz w:val="20"/>
          <w:szCs w:val="20"/>
        </w:rPr>
        <w:t xml:space="preserve">C-578/16 PPU </w:t>
      </w:r>
      <w:r w:rsidR="008410BA">
        <w:rPr>
          <w:rFonts w:ascii="Times New Roman" w:hAnsi="Times New Roman" w:cs="Times New Roman"/>
          <w:sz w:val="20"/>
          <w:szCs w:val="20"/>
        </w:rPr>
        <w:t>(</w:t>
      </w:r>
      <w:r w:rsidR="008410BA" w:rsidRPr="008410BA">
        <w:rPr>
          <w:rFonts w:ascii="Times New Roman" w:hAnsi="Times New Roman" w:cs="Times New Roman"/>
          <w:i/>
          <w:iCs/>
          <w:sz w:val="20"/>
          <w:szCs w:val="20"/>
        </w:rPr>
        <w:t>C. K.</w:t>
      </w:r>
      <w:r w:rsidR="008410BA">
        <w:rPr>
          <w:rFonts w:ascii="Times New Roman" w:hAnsi="Times New Roman" w:cs="Times New Roman"/>
          <w:sz w:val="20"/>
          <w:szCs w:val="20"/>
        </w:rPr>
        <w:t>)</w:t>
      </w:r>
      <w:r w:rsidR="008410BA" w:rsidRPr="008410BA">
        <w:rPr>
          <w:rFonts w:ascii="Times New Roman" w:hAnsi="Times New Roman" w:cs="Times New Roman"/>
          <w:sz w:val="20"/>
          <w:szCs w:val="20"/>
        </w:rPr>
        <w:t xml:space="preserve">, </w:t>
      </w:r>
      <w:r w:rsidR="008410BA">
        <w:rPr>
          <w:rFonts w:ascii="Times New Roman" w:hAnsi="Times New Roman" w:cs="Times New Roman"/>
          <w:sz w:val="20"/>
          <w:szCs w:val="20"/>
        </w:rPr>
        <w:t>§ 91-92.</w:t>
      </w:r>
    </w:p>
  </w:footnote>
  <w:footnote w:id="53">
    <w:p w14:paraId="77F39C18" w14:textId="6EC8ABC0" w:rsidR="00475FD6" w:rsidRPr="00C00978" w:rsidRDefault="00475FD6">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Exemplificativamente, o julgamento </w:t>
      </w:r>
      <w:r>
        <w:rPr>
          <w:rFonts w:ascii="Times New Roman" w:hAnsi="Times New Roman" w:cs="Times New Roman"/>
        </w:rPr>
        <w:t xml:space="preserve">do TEDH em </w:t>
      </w:r>
      <w:r w:rsidRPr="00475FD6">
        <w:rPr>
          <w:rFonts w:ascii="Times New Roman" w:hAnsi="Times New Roman" w:cs="Times New Roman"/>
          <w:i/>
          <w:iCs/>
        </w:rPr>
        <w:t xml:space="preserve">Liu v. Poland </w:t>
      </w:r>
      <w:r w:rsidRPr="00475FD6">
        <w:rPr>
          <w:rFonts w:ascii="Times New Roman" w:hAnsi="Times New Roman" w:cs="Times New Roman"/>
        </w:rPr>
        <w:t>(n</w:t>
      </w:r>
      <w:r>
        <w:rPr>
          <w:rFonts w:ascii="Times New Roman" w:hAnsi="Times New Roman" w:cs="Times New Roman"/>
        </w:rPr>
        <w:t>º</w:t>
      </w:r>
      <w:r w:rsidRPr="00475FD6">
        <w:rPr>
          <w:rFonts w:ascii="Times New Roman" w:hAnsi="Times New Roman" w:cs="Times New Roman"/>
        </w:rPr>
        <w:t xml:space="preserve"> 37610/18), </w:t>
      </w:r>
      <w:r>
        <w:rPr>
          <w:rFonts w:ascii="Times New Roman" w:hAnsi="Times New Roman" w:cs="Times New Roman"/>
        </w:rPr>
        <w:t>§</w:t>
      </w:r>
      <w:r w:rsidRPr="00475FD6">
        <w:rPr>
          <w:rFonts w:ascii="Times New Roman" w:hAnsi="Times New Roman" w:cs="Times New Roman"/>
        </w:rPr>
        <w:t xml:space="preserve"> </w:t>
      </w:r>
      <w:r w:rsidRPr="00C00978">
        <w:rPr>
          <w:rFonts w:ascii="Times New Roman" w:hAnsi="Times New Roman" w:cs="Times New Roman"/>
        </w:rPr>
        <w:t>83.</w:t>
      </w:r>
    </w:p>
  </w:footnote>
  <w:footnote w:id="54">
    <w:p w14:paraId="571F0515" w14:textId="62596491" w:rsidR="007A66D8" w:rsidRDefault="007A66D8">
      <w:pPr>
        <w:pStyle w:val="Textonotapie"/>
      </w:pPr>
      <w:r>
        <w:rPr>
          <w:rStyle w:val="Refdenotaalpie"/>
        </w:rPr>
        <w:footnoteRef/>
      </w:r>
      <w:r>
        <w:t xml:space="preserve"> </w:t>
      </w:r>
      <w:r w:rsidR="0075684D" w:rsidRPr="005C2FC7">
        <w:rPr>
          <w:rFonts w:ascii="Times New Roman" w:hAnsi="Times New Roman" w:cs="Times New Roman"/>
        </w:rPr>
        <w:t>C-182/15 (</w:t>
      </w:r>
      <w:r w:rsidR="0075684D" w:rsidRPr="005C2FC7">
        <w:rPr>
          <w:rFonts w:ascii="Times New Roman" w:hAnsi="Times New Roman" w:cs="Times New Roman"/>
          <w:i/>
          <w:iCs/>
        </w:rPr>
        <w:t>Petruhhin</w:t>
      </w:r>
      <w:r w:rsidR="0075684D" w:rsidRPr="005C2FC7">
        <w:rPr>
          <w:rFonts w:ascii="Times New Roman" w:hAnsi="Times New Roman" w:cs="Times New Roman"/>
        </w:rPr>
        <w:t>).</w:t>
      </w:r>
    </w:p>
  </w:footnote>
  <w:footnote w:id="55">
    <w:p w14:paraId="7A3AF8C7" w14:textId="57A14B0F" w:rsidR="00905890" w:rsidRPr="00905890" w:rsidRDefault="00905890">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Com detalhe, Miguel João Costa, Raquel Cardoso e Vânia Costa Ramos (2024).</w:t>
      </w:r>
    </w:p>
  </w:footnote>
  <w:footnote w:id="56">
    <w:p w14:paraId="00C9F95D" w14:textId="1A73FF4C" w:rsidR="00AB45E5" w:rsidRPr="005C2FC7" w:rsidRDefault="00AB45E5">
      <w:pPr>
        <w:pStyle w:val="Textonotapie"/>
        <w:rPr>
          <w:lang w:val="en-US"/>
        </w:rPr>
      </w:pPr>
      <w:r>
        <w:rPr>
          <w:rStyle w:val="Refdenotaalpie"/>
        </w:rPr>
        <w:footnoteRef/>
      </w:r>
      <w:r w:rsidRPr="005C2FC7">
        <w:rPr>
          <w:lang w:val="en-US"/>
        </w:rPr>
        <w:t xml:space="preserve"> </w:t>
      </w:r>
      <w:r w:rsidRPr="005C2FC7">
        <w:rPr>
          <w:rFonts w:ascii="Times New Roman" w:hAnsi="Times New Roman" w:cs="Times New Roman"/>
          <w:lang w:val="en-US"/>
        </w:rPr>
        <w:t>C-413/99 (</w:t>
      </w:r>
      <w:proofErr w:type="spellStart"/>
      <w:r w:rsidRPr="005C2FC7">
        <w:rPr>
          <w:rFonts w:ascii="Times New Roman" w:hAnsi="Times New Roman" w:cs="Times New Roman"/>
          <w:i/>
          <w:iCs/>
          <w:lang w:val="en-US"/>
        </w:rPr>
        <w:t>Baumbast</w:t>
      </w:r>
      <w:proofErr w:type="spellEnd"/>
      <w:r w:rsidRPr="005C2FC7">
        <w:rPr>
          <w:rFonts w:ascii="Times New Roman" w:hAnsi="Times New Roman" w:cs="Times New Roman"/>
          <w:lang w:val="en-US"/>
        </w:rPr>
        <w:t>), § 82.</w:t>
      </w:r>
    </w:p>
  </w:footnote>
  <w:footnote w:id="57">
    <w:p w14:paraId="69D66F4C" w14:textId="6F15BA4F" w:rsidR="003C2A58" w:rsidRPr="005C2FC7" w:rsidRDefault="003C2A58">
      <w:pPr>
        <w:pStyle w:val="Textonotapie"/>
        <w:rPr>
          <w:lang w:val="en-US"/>
        </w:rPr>
      </w:pPr>
      <w:r>
        <w:rPr>
          <w:rStyle w:val="Refdenotaalpie"/>
        </w:rPr>
        <w:footnoteRef/>
      </w:r>
      <w:r w:rsidRPr="005C2FC7">
        <w:rPr>
          <w:lang w:val="en-US"/>
        </w:rPr>
        <w:t xml:space="preserve"> </w:t>
      </w:r>
      <w:r w:rsidRPr="005C2FC7">
        <w:rPr>
          <w:rFonts w:ascii="Times New Roman" w:hAnsi="Times New Roman" w:cs="Times New Roman"/>
          <w:lang w:val="en-US"/>
        </w:rPr>
        <w:t>C-247/17 (</w:t>
      </w:r>
      <w:proofErr w:type="spellStart"/>
      <w:r w:rsidRPr="005C2FC7">
        <w:rPr>
          <w:rFonts w:ascii="Times New Roman" w:hAnsi="Times New Roman" w:cs="Times New Roman"/>
          <w:i/>
          <w:iCs/>
          <w:lang w:val="en-US"/>
        </w:rPr>
        <w:t>Raugevicius</w:t>
      </w:r>
      <w:proofErr w:type="spellEnd"/>
      <w:r w:rsidRPr="005C2FC7">
        <w:rPr>
          <w:rFonts w:ascii="Times New Roman" w:hAnsi="Times New Roman" w:cs="Times New Roman"/>
          <w:lang w:val="en-US"/>
        </w:rPr>
        <w:t xml:space="preserve">), § 50. </w:t>
      </w:r>
    </w:p>
  </w:footnote>
  <w:footnote w:id="58">
    <w:p w14:paraId="7F129589" w14:textId="02EE64D7" w:rsidR="00CD7554" w:rsidRPr="00CD7554" w:rsidRDefault="00CD7554">
      <w:pPr>
        <w:pStyle w:val="Textonotapie"/>
        <w:rPr>
          <w:lang w:val="en-US"/>
        </w:rPr>
      </w:pPr>
      <w:r>
        <w:rPr>
          <w:rStyle w:val="Refdenotaalpie"/>
        </w:rPr>
        <w:footnoteRef/>
      </w:r>
      <w:r w:rsidRPr="00CD7554">
        <w:rPr>
          <w:lang w:val="en-US"/>
        </w:rPr>
        <w:t xml:space="preserve"> </w:t>
      </w:r>
      <w:r w:rsidRPr="000C5C36">
        <w:rPr>
          <w:rFonts w:ascii="Times New Roman" w:hAnsi="Times New Roman" w:cs="Times New Roman"/>
          <w:lang w:val="en-US"/>
        </w:rPr>
        <w:t>André Klip</w:t>
      </w:r>
      <w:r>
        <w:rPr>
          <w:rFonts w:ascii="Times New Roman" w:hAnsi="Times New Roman" w:cs="Times New Roman"/>
          <w:lang w:val="en-US"/>
        </w:rPr>
        <w:t xml:space="preserve"> (2021)</w:t>
      </w:r>
      <w:r w:rsidRPr="000C5C36">
        <w:rPr>
          <w:rFonts w:ascii="Times New Roman" w:hAnsi="Times New Roman" w:cs="Times New Roman"/>
          <w:lang w:val="en-US"/>
        </w:rPr>
        <w:t xml:space="preserve">, </w:t>
      </w:r>
      <w:r>
        <w:rPr>
          <w:rFonts w:ascii="Times New Roman" w:hAnsi="Times New Roman" w:cs="Times New Roman"/>
          <w:lang w:val="en-US"/>
        </w:rPr>
        <w:t xml:space="preserve">p. </w:t>
      </w:r>
      <w:r w:rsidRPr="000C5C36">
        <w:rPr>
          <w:rFonts w:ascii="Times New Roman" w:hAnsi="Times New Roman" w:cs="Times New Roman"/>
          <w:lang w:val="en-US"/>
        </w:rPr>
        <w:t>369</w:t>
      </w:r>
      <w:r>
        <w:rPr>
          <w:rFonts w:ascii="Times New Roman" w:hAnsi="Times New Roman" w:cs="Times New Roman"/>
          <w:lang w:val="en-US"/>
        </w:rPr>
        <w:t>.</w:t>
      </w:r>
    </w:p>
  </w:footnote>
  <w:footnote w:id="59">
    <w:p w14:paraId="0CEF7E5A" w14:textId="66B4B55C" w:rsidR="00204784" w:rsidRPr="00204784" w:rsidRDefault="00204784" w:rsidP="00204784">
      <w:pPr>
        <w:pStyle w:val="Textonotapie"/>
        <w:jc w:val="both"/>
        <w:rPr>
          <w:rFonts w:ascii="Times New Roman" w:hAnsi="Times New Roman" w:cs="Times New Roman"/>
        </w:rPr>
      </w:pPr>
      <w:r>
        <w:rPr>
          <w:rStyle w:val="Refdenotaalpie"/>
        </w:rPr>
        <w:footnoteRef/>
      </w:r>
      <w:r w:rsidRPr="00204784">
        <w:rPr>
          <w:lang w:val="en-US"/>
        </w:rPr>
        <w:t xml:space="preserve"> </w:t>
      </w:r>
      <w:r w:rsidRPr="00204784">
        <w:rPr>
          <w:rFonts w:ascii="Times New Roman" w:hAnsi="Times New Roman" w:cs="Times New Roman"/>
          <w:lang w:val="en-US"/>
        </w:rPr>
        <w:t xml:space="preserve">V. </w:t>
      </w:r>
      <w:r w:rsidRPr="00DA6BEE">
        <w:rPr>
          <w:rFonts w:ascii="Times New Roman" w:hAnsi="Times New Roman" w:cs="Times New Roman"/>
          <w:lang w:val="en-US"/>
        </w:rPr>
        <w:t>Sören Schomburg</w:t>
      </w:r>
      <w:r>
        <w:rPr>
          <w:rFonts w:ascii="Times New Roman" w:hAnsi="Times New Roman" w:cs="Times New Roman"/>
          <w:lang w:val="en-US"/>
        </w:rPr>
        <w:t xml:space="preserve">, </w:t>
      </w:r>
      <w:r w:rsidRPr="00DA6BEE">
        <w:rPr>
          <w:rFonts w:ascii="Times New Roman" w:hAnsi="Times New Roman" w:cs="Times New Roman"/>
          <w:lang w:val="en-US"/>
        </w:rPr>
        <w:t>Vânia Costa Ramos</w:t>
      </w:r>
      <w:r>
        <w:rPr>
          <w:rFonts w:ascii="Times New Roman" w:hAnsi="Times New Roman" w:cs="Times New Roman"/>
          <w:lang w:val="en-US"/>
        </w:rPr>
        <w:t>,</w:t>
      </w:r>
      <w:r w:rsidRPr="00DA6BEE">
        <w:rPr>
          <w:rFonts w:ascii="Times New Roman" w:hAnsi="Times New Roman" w:cs="Times New Roman"/>
          <w:lang w:val="en-US"/>
        </w:rPr>
        <w:t xml:space="preserve"> William </w:t>
      </w:r>
      <w:proofErr w:type="spellStart"/>
      <w:r w:rsidRPr="00DA6BEE">
        <w:rPr>
          <w:rFonts w:ascii="Times New Roman" w:hAnsi="Times New Roman" w:cs="Times New Roman"/>
          <w:lang w:val="en-US"/>
        </w:rPr>
        <w:t>Julié</w:t>
      </w:r>
      <w:proofErr w:type="spellEnd"/>
      <w:r>
        <w:rPr>
          <w:rFonts w:ascii="Times New Roman" w:hAnsi="Times New Roman" w:cs="Times New Roman"/>
          <w:lang w:val="en-US"/>
        </w:rPr>
        <w:t xml:space="preserve">, </w:t>
      </w:r>
      <w:proofErr w:type="spellStart"/>
      <w:r w:rsidRPr="00DA6BEE">
        <w:rPr>
          <w:rFonts w:ascii="Times New Roman" w:hAnsi="Times New Roman" w:cs="Times New Roman"/>
          <w:lang w:val="en-US"/>
        </w:rPr>
        <w:t>Amélie</w:t>
      </w:r>
      <w:proofErr w:type="spellEnd"/>
      <w:r w:rsidRPr="00DA6BEE">
        <w:rPr>
          <w:rFonts w:ascii="Times New Roman" w:hAnsi="Times New Roman" w:cs="Times New Roman"/>
          <w:lang w:val="en-US"/>
        </w:rPr>
        <w:t xml:space="preserve"> </w:t>
      </w:r>
      <w:proofErr w:type="spellStart"/>
      <w:r w:rsidRPr="00DA6BEE">
        <w:rPr>
          <w:rFonts w:ascii="Times New Roman" w:hAnsi="Times New Roman" w:cs="Times New Roman"/>
          <w:lang w:val="en-US"/>
        </w:rPr>
        <w:t>Beauchemin</w:t>
      </w:r>
      <w:proofErr w:type="spellEnd"/>
      <w:r w:rsidRPr="00DA6BEE">
        <w:rPr>
          <w:rFonts w:ascii="Times New Roman" w:hAnsi="Times New Roman" w:cs="Times New Roman"/>
          <w:lang w:val="en-US"/>
        </w:rPr>
        <w:t xml:space="preserve"> </w:t>
      </w:r>
      <w:r>
        <w:rPr>
          <w:rFonts w:ascii="Times New Roman" w:hAnsi="Times New Roman" w:cs="Times New Roman"/>
          <w:lang w:val="en-US"/>
        </w:rPr>
        <w:t xml:space="preserve">and </w:t>
      </w:r>
      <w:r w:rsidRPr="00DA6BEE">
        <w:rPr>
          <w:rFonts w:ascii="Times New Roman" w:hAnsi="Times New Roman" w:cs="Times New Roman"/>
          <w:lang w:val="en-US"/>
        </w:rPr>
        <w:t>Rebecca Niblock</w:t>
      </w:r>
      <w:r>
        <w:rPr>
          <w:rFonts w:ascii="Times New Roman" w:hAnsi="Times New Roman" w:cs="Times New Roman"/>
          <w:lang w:val="en-US"/>
        </w:rPr>
        <w:t xml:space="preserve"> (2022). </w:t>
      </w:r>
      <w:r w:rsidRPr="00204784">
        <w:rPr>
          <w:rFonts w:ascii="Times New Roman" w:hAnsi="Times New Roman" w:cs="Times New Roman"/>
        </w:rPr>
        <w:t>Para exemplo prático de um recurso com sucesso nesta questão,</w:t>
      </w:r>
      <w:r>
        <w:rPr>
          <w:rFonts w:ascii="Times New Roman" w:hAnsi="Times New Roman" w:cs="Times New Roman"/>
        </w:rPr>
        <w:t xml:space="preserve"> v. </w:t>
      </w:r>
      <w:r w:rsidRPr="00204784">
        <w:rPr>
          <w:rFonts w:ascii="Times New Roman" w:hAnsi="Times New Roman" w:cs="Times New Roman"/>
        </w:rPr>
        <w:t>Miguel João Costa, Raquel Cardoso, Vânia Costa Ramos</w:t>
      </w:r>
      <w:r>
        <w:rPr>
          <w:rFonts w:ascii="Times New Roman" w:hAnsi="Times New Roman" w:cs="Times New Roman"/>
        </w:rPr>
        <w:t xml:space="preserve"> (2024).</w:t>
      </w:r>
    </w:p>
  </w:footnote>
  <w:footnote w:id="60">
    <w:p w14:paraId="7D9FA281" w14:textId="3F9082A9" w:rsidR="009343CC" w:rsidRDefault="009343CC">
      <w:pPr>
        <w:pStyle w:val="Textonotapie"/>
      </w:pPr>
      <w:r>
        <w:rPr>
          <w:rStyle w:val="Refdenotaalpie"/>
        </w:rPr>
        <w:footnoteRef/>
      </w:r>
      <w:r>
        <w:t xml:space="preserve"> </w:t>
      </w:r>
      <w:r w:rsidRPr="00692172">
        <w:rPr>
          <w:rFonts w:ascii="Times New Roman" w:hAnsi="Times New Roman" w:cs="Times New Roman"/>
          <w:lang w:val="es-ES"/>
        </w:rPr>
        <w:t>H. Crawley (2023), p. 21.</w:t>
      </w:r>
    </w:p>
  </w:footnote>
  <w:footnote w:id="61">
    <w:p w14:paraId="2D79428D" w14:textId="0AEA7B43" w:rsidR="00166AC8" w:rsidRPr="00166AC8" w:rsidRDefault="00166AC8" w:rsidP="00166AC8">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De acordo com as estatísticas oficiais, 85,9% dos migrantes irregulares são requerentes de asilo – Conselho da UE (2024).</w:t>
      </w:r>
    </w:p>
  </w:footnote>
  <w:footnote w:id="62">
    <w:p w14:paraId="250128D2" w14:textId="5716B4EB" w:rsidR="003D6636" w:rsidRPr="004070F7" w:rsidRDefault="003D6636" w:rsidP="004070F7">
      <w:pPr>
        <w:spacing w:after="0" w:line="240" w:lineRule="auto"/>
        <w:rPr>
          <w:sz w:val="20"/>
          <w:szCs w:val="20"/>
        </w:rPr>
      </w:pPr>
      <w:r>
        <w:rPr>
          <w:rStyle w:val="Refdenotaalpie"/>
        </w:rPr>
        <w:footnoteRef/>
      </w:r>
      <w:r>
        <w:t xml:space="preserve"> </w:t>
      </w:r>
      <w:r w:rsidR="004070F7" w:rsidRPr="004070F7">
        <w:rPr>
          <w:rFonts w:ascii="Times New Roman" w:hAnsi="Times New Roman" w:cs="Times New Roman"/>
          <w:sz w:val="20"/>
          <w:szCs w:val="20"/>
        </w:rPr>
        <w:t>Comissão Europeia (2024a)</w:t>
      </w:r>
      <w:r w:rsidR="009A3AC0">
        <w:rPr>
          <w:rFonts w:ascii="Times New Roman" w:hAnsi="Times New Roman" w:cs="Times New Roman"/>
          <w:sz w:val="20"/>
          <w:szCs w:val="20"/>
        </w:rPr>
        <w:t>.</w:t>
      </w:r>
    </w:p>
  </w:footnote>
  <w:footnote w:id="63">
    <w:p w14:paraId="54FDD65B" w14:textId="5E59DCBB" w:rsidR="003D6636" w:rsidRDefault="003D6636">
      <w:pPr>
        <w:pStyle w:val="Textonotapie"/>
      </w:pPr>
      <w:r>
        <w:rPr>
          <w:rStyle w:val="Refdenotaalpie"/>
        </w:rPr>
        <w:footnoteRef/>
      </w:r>
      <w:r>
        <w:t xml:space="preserve"> </w:t>
      </w:r>
      <w:r w:rsidR="004070F7" w:rsidRPr="004070F7">
        <w:rPr>
          <w:rFonts w:ascii="Times New Roman" w:hAnsi="Times New Roman" w:cs="Times New Roman"/>
        </w:rPr>
        <w:t xml:space="preserve">Caso </w:t>
      </w:r>
      <w:r w:rsidR="004070F7" w:rsidRPr="004070F7">
        <w:rPr>
          <w:rFonts w:ascii="Times New Roman" w:hAnsi="Times New Roman" w:cs="Times New Roman"/>
        </w:rPr>
        <w:t xml:space="preserve">C-61/11 PPU </w:t>
      </w:r>
      <w:r w:rsidR="004070F7">
        <w:rPr>
          <w:rFonts w:ascii="Times New Roman" w:hAnsi="Times New Roman" w:cs="Times New Roman"/>
        </w:rPr>
        <w:t>(</w:t>
      </w:r>
      <w:r w:rsidR="004070F7" w:rsidRPr="004070F7">
        <w:rPr>
          <w:rFonts w:ascii="Times New Roman" w:hAnsi="Times New Roman" w:cs="Times New Roman"/>
          <w:i/>
          <w:iCs/>
        </w:rPr>
        <w:t>El Dridi</w:t>
      </w:r>
      <w:r w:rsidR="004070F7">
        <w:rPr>
          <w:rFonts w:ascii="Times New Roman" w:hAnsi="Times New Roman" w:cs="Times New Roman"/>
        </w:rPr>
        <w:t xml:space="preserve">) – </w:t>
      </w:r>
      <w:r w:rsidR="004070F7" w:rsidRPr="004070F7">
        <w:rPr>
          <w:rFonts w:ascii="Times New Roman" w:hAnsi="Times New Roman" w:cs="Times New Roman"/>
        </w:rPr>
        <w:t>em comentário, N. Vavoula (2019)</w:t>
      </w:r>
      <w:r w:rsidR="004070F7">
        <w:rPr>
          <w:rFonts w:ascii="Times New Roman" w:hAnsi="Times New Roman" w:cs="Times New Roman"/>
        </w:rPr>
        <w:t>.</w:t>
      </w:r>
    </w:p>
  </w:footnote>
  <w:footnote w:id="64">
    <w:p w14:paraId="3BF72EDE" w14:textId="16A671FC" w:rsidR="00DC3C63" w:rsidRPr="00DC3C63" w:rsidRDefault="00DC3C63">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A primeira vez que esse fenómeno foi identificado foi em 2021, quando a Bielorrússia concedeu vistos a migrantes oriundos do Médio Oriente e de África e organizou o seu transporte até às fronteiras externas da UE (abrangendo a Polónia, Lituânia e Letónia). </w:t>
      </w:r>
    </w:p>
  </w:footnote>
  <w:footnote w:id="65">
    <w:p w14:paraId="2BF3D21A" w14:textId="07E114AF" w:rsidR="004313A7" w:rsidRDefault="004313A7">
      <w:pPr>
        <w:pStyle w:val="Textonotapie"/>
      </w:pPr>
      <w:r>
        <w:rPr>
          <w:rStyle w:val="Refdenotaalpie"/>
        </w:rPr>
        <w:footnoteRef/>
      </w:r>
      <w:r>
        <w:t xml:space="preserve"> </w:t>
      </w:r>
      <w:r>
        <w:rPr>
          <w:rFonts w:ascii="Times New Roman" w:hAnsi="Times New Roman" w:cs="Times New Roman"/>
        </w:rPr>
        <w:t xml:space="preserve">Em comentário, </w:t>
      </w:r>
      <w:r w:rsidRPr="007C0DA0">
        <w:rPr>
          <w:rFonts w:ascii="Times New Roman" w:hAnsi="Times New Roman" w:cs="Times New Roman"/>
        </w:rPr>
        <w:t xml:space="preserve">A. </w:t>
      </w:r>
      <w:r w:rsidRPr="007C0DA0">
        <w:rPr>
          <w:rFonts w:ascii="Times New Roman" w:hAnsi="Times New Roman" w:cs="Times New Roman"/>
        </w:rPr>
        <w:t>Ancite-Jepifánova</w:t>
      </w:r>
      <w:r>
        <w:rPr>
          <w:rFonts w:ascii="Times New Roman" w:hAnsi="Times New Roman" w:cs="Times New Roman"/>
        </w:rPr>
        <w:t xml:space="preserve"> (2024).</w:t>
      </w:r>
    </w:p>
  </w:footnote>
  <w:footnote w:id="66">
    <w:p w14:paraId="337C0E93" w14:textId="2388AF26" w:rsidR="009A3AC0" w:rsidRDefault="009A3AC0">
      <w:pPr>
        <w:pStyle w:val="Textonotapie"/>
      </w:pPr>
      <w:r>
        <w:rPr>
          <w:rStyle w:val="Refdenotaalpie"/>
        </w:rPr>
        <w:footnoteRef/>
      </w:r>
      <w:r>
        <w:t xml:space="preserve"> </w:t>
      </w:r>
      <w:r>
        <w:rPr>
          <w:rFonts w:ascii="Times New Roman" w:hAnsi="Times New Roman" w:cs="Times New Roman"/>
        </w:rPr>
        <w:t>Num total de 170€ biliões – Comissão Europeia (2024b).</w:t>
      </w:r>
    </w:p>
  </w:footnote>
  <w:footnote w:id="67">
    <w:p w14:paraId="1EB06983" w14:textId="3D2811B0" w:rsidR="00211027" w:rsidRDefault="00211027">
      <w:pPr>
        <w:pStyle w:val="Textonotapie"/>
      </w:pPr>
      <w:r>
        <w:rPr>
          <w:rStyle w:val="Refdenotaalpie"/>
        </w:rPr>
        <w:footnoteRef/>
      </w:r>
      <w:r>
        <w:t xml:space="preserve"> </w:t>
      </w:r>
      <w:r>
        <w:rPr>
          <w:rFonts w:ascii="Times New Roman" w:hAnsi="Times New Roman" w:cs="Times New Roman"/>
        </w:rPr>
        <w:t>Com detalhe, R</w:t>
      </w:r>
      <w:r w:rsidR="007A2D09">
        <w:rPr>
          <w:rFonts w:ascii="Times New Roman" w:hAnsi="Times New Roman" w:cs="Times New Roman"/>
        </w:rPr>
        <w:t>aquel</w:t>
      </w:r>
      <w:r>
        <w:rPr>
          <w:rFonts w:ascii="Times New Roman" w:hAnsi="Times New Roman" w:cs="Times New Roman"/>
        </w:rPr>
        <w:t xml:space="preserve"> Cardoso (2024).</w:t>
      </w:r>
    </w:p>
  </w:footnote>
  <w:footnote w:id="68">
    <w:p w14:paraId="0616231C" w14:textId="391B1CCC" w:rsidR="00211027" w:rsidRDefault="00211027">
      <w:pPr>
        <w:pStyle w:val="Textonotapie"/>
      </w:pPr>
      <w:r>
        <w:rPr>
          <w:rStyle w:val="Refdenotaalpie"/>
        </w:rPr>
        <w:footnoteRef/>
      </w:r>
      <w:r>
        <w:t xml:space="preserve"> </w:t>
      </w:r>
      <w:r>
        <w:rPr>
          <w:rFonts w:ascii="Times New Roman" w:hAnsi="Times New Roman" w:cs="Times New Roman"/>
        </w:rPr>
        <w:t>PICUM Report (2024), p. 7, 11-14.</w:t>
      </w:r>
    </w:p>
  </w:footnote>
  <w:footnote w:id="69">
    <w:p w14:paraId="5C7B5E8A" w14:textId="357E9AC3" w:rsidR="00B50A46" w:rsidRDefault="00B50A46">
      <w:pPr>
        <w:pStyle w:val="Textonotapie"/>
      </w:pPr>
      <w:r>
        <w:rPr>
          <w:rStyle w:val="Refdenotaalpie"/>
        </w:rPr>
        <w:footnoteRef/>
      </w:r>
      <w:r>
        <w:t xml:space="preserve"> </w:t>
      </w:r>
      <w:r w:rsidRPr="00DB0B8A">
        <w:rPr>
          <w:rFonts w:ascii="Times New Roman" w:hAnsi="Times New Roman" w:cs="Times New Roman"/>
        </w:rPr>
        <w:t xml:space="preserve">Para uma análise mais detida, v. </w:t>
      </w:r>
      <w:r w:rsidRPr="00DB0B8A">
        <w:rPr>
          <w:rFonts w:ascii="Times New Roman" w:hAnsi="Times New Roman" w:cs="Times New Roman"/>
        </w:rPr>
        <w:t>V</w:t>
      </w:r>
      <w:r>
        <w:rPr>
          <w:rFonts w:ascii="Times New Roman" w:hAnsi="Times New Roman" w:cs="Times New Roman"/>
        </w:rPr>
        <w:t>asil</w:t>
      </w:r>
      <w:r w:rsidRPr="00DB0B8A">
        <w:rPr>
          <w:rFonts w:ascii="Times New Roman" w:hAnsi="Times New Roman" w:cs="Times New Roman"/>
        </w:rPr>
        <w:t xml:space="preserve"> Pavlov </w:t>
      </w:r>
      <w:r>
        <w:rPr>
          <w:rFonts w:ascii="Times New Roman" w:hAnsi="Times New Roman" w:cs="Times New Roman"/>
        </w:rPr>
        <w:t>e</w:t>
      </w:r>
      <w:r w:rsidRPr="00DB0B8A">
        <w:rPr>
          <w:rFonts w:ascii="Times New Roman" w:hAnsi="Times New Roman" w:cs="Times New Roman"/>
        </w:rPr>
        <w:t xml:space="preserve"> R</w:t>
      </w:r>
      <w:r>
        <w:rPr>
          <w:rFonts w:ascii="Times New Roman" w:hAnsi="Times New Roman" w:cs="Times New Roman"/>
        </w:rPr>
        <w:t>aquel</w:t>
      </w:r>
      <w:r w:rsidRPr="00DB0B8A">
        <w:rPr>
          <w:rFonts w:ascii="Times New Roman" w:hAnsi="Times New Roman" w:cs="Times New Roman"/>
        </w:rPr>
        <w:t xml:space="preserve"> Cardoso (2024).</w:t>
      </w:r>
    </w:p>
  </w:footnote>
  <w:footnote w:id="70">
    <w:p w14:paraId="0AD6DB2C" w14:textId="342B2CB7" w:rsidR="00281A45" w:rsidRPr="00281A45" w:rsidRDefault="00281A45">
      <w:pPr>
        <w:pStyle w:val="Textonotapie"/>
        <w:rPr>
          <w:lang w:val="en-US"/>
        </w:rPr>
      </w:pPr>
      <w:r>
        <w:rPr>
          <w:rStyle w:val="Refdenotaalpie"/>
        </w:rPr>
        <w:footnoteRef/>
      </w:r>
      <w:r w:rsidRPr="00281A45">
        <w:rPr>
          <w:lang w:val="en-US"/>
        </w:rPr>
        <w:t xml:space="preserve"> </w:t>
      </w:r>
      <w:r w:rsidRPr="002D0A5D">
        <w:rPr>
          <w:rFonts w:ascii="Times New Roman" w:hAnsi="Times New Roman" w:cs="Times New Roman"/>
          <w:lang w:val="en-US"/>
        </w:rPr>
        <w:t xml:space="preserve">G. </w:t>
      </w:r>
      <w:proofErr w:type="spellStart"/>
      <w:r w:rsidRPr="002D0A5D">
        <w:rPr>
          <w:rFonts w:ascii="Times New Roman" w:hAnsi="Times New Roman" w:cs="Times New Roman"/>
          <w:lang w:val="en-US"/>
        </w:rPr>
        <w:t>Ovacık</w:t>
      </w:r>
      <w:proofErr w:type="spellEnd"/>
      <w:r w:rsidRPr="002D0A5D">
        <w:rPr>
          <w:rFonts w:ascii="Times New Roman" w:hAnsi="Times New Roman" w:cs="Times New Roman"/>
          <w:lang w:val="en-US"/>
        </w:rPr>
        <w:t xml:space="preserve">, M. </w:t>
      </w:r>
      <w:proofErr w:type="spellStart"/>
      <w:r w:rsidRPr="002D0A5D">
        <w:rPr>
          <w:rFonts w:ascii="Times New Roman" w:hAnsi="Times New Roman" w:cs="Times New Roman"/>
          <w:lang w:val="en-US"/>
        </w:rPr>
        <w:t>Ineli-Ciger</w:t>
      </w:r>
      <w:proofErr w:type="spellEnd"/>
      <w:r w:rsidRPr="002D0A5D">
        <w:rPr>
          <w:rFonts w:ascii="Times New Roman" w:hAnsi="Times New Roman" w:cs="Times New Roman"/>
          <w:lang w:val="en-US"/>
        </w:rPr>
        <w:t xml:space="preserve"> and O. Ulusoy</w:t>
      </w:r>
      <w:r>
        <w:rPr>
          <w:rFonts w:ascii="Times New Roman" w:hAnsi="Times New Roman" w:cs="Times New Roman"/>
          <w:lang w:val="en-US"/>
        </w:rPr>
        <w:t xml:space="preserve"> (</w:t>
      </w:r>
      <w:r w:rsidRPr="002D0A5D">
        <w:rPr>
          <w:rFonts w:ascii="Times New Roman" w:hAnsi="Times New Roman" w:cs="Times New Roman"/>
          <w:lang w:val="en-US"/>
        </w:rPr>
        <w:t>2024</w:t>
      </w:r>
      <w:r>
        <w:rPr>
          <w:rFonts w:ascii="Times New Roman" w:hAnsi="Times New Roman" w:cs="Times New Roman"/>
          <w:lang w:val="en-US"/>
        </w:rPr>
        <w:t>), p. 154 ss</w:t>
      </w:r>
    </w:p>
  </w:footnote>
  <w:footnote w:id="71">
    <w:p w14:paraId="033B62AC" w14:textId="4802DA86" w:rsidR="00281A45" w:rsidRPr="00281A45" w:rsidRDefault="00281A45">
      <w:pPr>
        <w:pStyle w:val="Textonotapie"/>
        <w:rPr>
          <w:lang w:val="en-US"/>
        </w:rPr>
      </w:pPr>
      <w:r>
        <w:rPr>
          <w:rStyle w:val="Refdenotaalpie"/>
        </w:rPr>
        <w:footnoteRef/>
      </w:r>
      <w:r w:rsidRPr="00281A45">
        <w:rPr>
          <w:lang w:val="en-US"/>
        </w:rPr>
        <w:t xml:space="preserve"> </w:t>
      </w:r>
      <w:bookmarkStart w:id="6" w:name="_Hlk185318327"/>
      <w:r w:rsidRPr="00FF6A99">
        <w:rPr>
          <w:rFonts w:ascii="Times New Roman" w:hAnsi="Times New Roman" w:cs="Times New Roman"/>
          <w:lang w:val="en-US"/>
        </w:rPr>
        <w:t>L. Achilli</w:t>
      </w:r>
      <w:bookmarkEnd w:id="6"/>
      <w:r w:rsidRPr="00FF6A99">
        <w:rPr>
          <w:rFonts w:ascii="Times New Roman" w:hAnsi="Times New Roman" w:cs="Times New Roman"/>
          <w:lang w:val="en-US"/>
        </w:rPr>
        <w:t xml:space="preserve"> (2024), p. 5051</w:t>
      </w:r>
      <w:r>
        <w:rPr>
          <w:rFonts w:ascii="Times New Roman" w:hAnsi="Times New Roman" w:cs="Times New Roman"/>
          <w:lang w:val="en-US"/>
        </w:rPr>
        <w:t>.</w:t>
      </w:r>
    </w:p>
  </w:footnote>
  <w:footnote w:id="72">
    <w:p w14:paraId="3BA2E686" w14:textId="5D315125" w:rsidR="00281A45" w:rsidRDefault="00281A45">
      <w:pPr>
        <w:pStyle w:val="Textonotapie"/>
      </w:pPr>
      <w:r>
        <w:rPr>
          <w:rStyle w:val="Refdenotaalpie"/>
        </w:rPr>
        <w:footnoteRef/>
      </w:r>
      <w:r>
        <w:t xml:space="preserve"> </w:t>
      </w:r>
      <w:r w:rsidRPr="006562B9">
        <w:rPr>
          <w:rFonts w:ascii="Times New Roman" w:hAnsi="Times New Roman" w:cs="Times New Roman"/>
        </w:rPr>
        <w:t xml:space="preserve">Como se verificou em Marrocos – L. F. Torres (2023), p. </w:t>
      </w:r>
      <w:r>
        <w:rPr>
          <w:rFonts w:ascii="Times New Roman" w:hAnsi="Times New Roman" w:cs="Times New Roman"/>
        </w:rPr>
        <w:t>29 ss.</w:t>
      </w:r>
    </w:p>
  </w:footnote>
  <w:footnote w:id="73">
    <w:p w14:paraId="5B17CA3A" w14:textId="619C4A80" w:rsidR="007B4A9C" w:rsidRDefault="007B4A9C">
      <w:pPr>
        <w:pStyle w:val="Textonotapie"/>
      </w:pPr>
      <w:r>
        <w:rPr>
          <w:rStyle w:val="Refdenotaalpie"/>
        </w:rPr>
        <w:footnoteRef/>
      </w:r>
      <w:r>
        <w:t xml:space="preserve"> </w:t>
      </w:r>
      <w:r w:rsidRPr="00692172">
        <w:rPr>
          <w:rFonts w:ascii="Times New Roman" w:hAnsi="Times New Roman" w:cs="Times New Roman"/>
          <w:lang w:val="es-ES"/>
        </w:rPr>
        <w:t>Petra</w:t>
      </w:r>
      <w:r w:rsidRPr="00692172">
        <w:rPr>
          <w:rFonts w:ascii="Times New Roman" w:hAnsi="Times New Roman" w:cs="Times New Roman"/>
          <w:smallCaps/>
          <w:lang w:val="es-ES"/>
        </w:rPr>
        <w:t xml:space="preserve"> </w:t>
      </w:r>
      <w:r w:rsidRPr="00692172">
        <w:rPr>
          <w:rFonts w:ascii="Times New Roman" w:hAnsi="Times New Roman" w:cs="Times New Roman"/>
          <w:lang w:val="es-ES"/>
        </w:rPr>
        <w:t>Bárd (2022), p. 185.</w:t>
      </w:r>
    </w:p>
  </w:footnote>
  <w:footnote w:id="74">
    <w:p w14:paraId="6C363343" w14:textId="71605A8A" w:rsidR="008B63F3" w:rsidRDefault="008B63F3">
      <w:pPr>
        <w:pStyle w:val="Textonotapie"/>
      </w:pPr>
      <w:r>
        <w:rPr>
          <w:rStyle w:val="Refdenotaalpie"/>
        </w:rPr>
        <w:footnoteRef/>
      </w:r>
      <w:r>
        <w:t xml:space="preserve"> </w:t>
      </w:r>
      <w:r w:rsidR="00CF4E34" w:rsidRPr="00692172">
        <w:rPr>
          <w:rFonts w:ascii="Times New Roman" w:hAnsi="Times New Roman" w:cs="Times New Roman"/>
          <w:bCs/>
          <w:lang w:val="es-ES"/>
        </w:rPr>
        <w:t>Luke Dimitrios Spieker (2025).</w:t>
      </w:r>
    </w:p>
  </w:footnote>
  <w:footnote w:id="75">
    <w:p w14:paraId="5190773F" w14:textId="7FA2E429" w:rsidR="00B202C6" w:rsidRPr="00D41D71" w:rsidRDefault="00B202C6" w:rsidP="00D41D71">
      <w:pPr>
        <w:pStyle w:val="Textonotapie"/>
        <w:jc w:val="both"/>
      </w:pPr>
      <w:r>
        <w:rPr>
          <w:rStyle w:val="Refdenotaalpie"/>
        </w:rPr>
        <w:footnoteRef/>
      </w:r>
      <w:r>
        <w:t xml:space="preserve"> </w:t>
      </w:r>
      <w:r w:rsidRPr="00D41D71">
        <w:rPr>
          <w:rFonts w:ascii="Times New Roman" w:hAnsi="Times New Roman" w:cs="Times New Roman"/>
        </w:rPr>
        <w:t>Karine</w:t>
      </w:r>
      <w:r w:rsidRPr="00D41D71">
        <w:rPr>
          <w:rFonts w:ascii="Times New Roman" w:hAnsi="Times New Roman" w:cs="Times New Roman"/>
          <w:smallCaps/>
        </w:rPr>
        <w:t xml:space="preserve"> </w:t>
      </w:r>
      <w:r w:rsidRPr="00D41D71">
        <w:rPr>
          <w:rFonts w:ascii="Times New Roman" w:hAnsi="Times New Roman" w:cs="Times New Roman"/>
        </w:rPr>
        <w:t>Caunes (2022), p. 2.</w:t>
      </w:r>
      <w:r w:rsidR="00D41D71" w:rsidRPr="00D41D71">
        <w:rPr>
          <w:rFonts w:ascii="Times New Roman" w:hAnsi="Times New Roman" w:cs="Times New Roman"/>
        </w:rPr>
        <w:t xml:space="preserve"> É até s</w:t>
      </w:r>
      <w:r w:rsidR="00D41D71">
        <w:rPr>
          <w:rFonts w:ascii="Times New Roman" w:hAnsi="Times New Roman" w:cs="Times New Roman"/>
        </w:rPr>
        <w:t xml:space="preserve">ugerido, neste sentido, o estabelecimento de um organismo responsável por observar o cumprimento desses valores por parte dos EM / UE – v. </w:t>
      </w:r>
      <w:r w:rsidR="00D41D71" w:rsidRPr="00D41D71">
        <w:rPr>
          <w:rFonts w:ascii="Times New Roman" w:hAnsi="Times New Roman" w:cs="Times New Roman"/>
        </w:rPr>
        <w:t>Sergio Carrera</w:t>
      </w:r>
      <w:r w:rsidR="00D41D71">
        <w:rPr>
          <w:rFonts w:ascii="Times New Roman" w:hAnsi="Times New Roman" w:cs="Times New Roman"/>
        </w:rPr>
        <w:t xml:space="preserve">, </w:t>
      </w:r>
      <w:r w:rsidR="00D41D71" w:rsidRPr="00D41D71">
        <w:rPr>
          <w:rFonts w:ascii="Times New Roman" w:hAnsi="Times New Roman" w:cs="Times New Roman"/>
        </w:rPr>
        <w:t>Júlia Pőcze</w:t>
      </w:r>
      <w:r w:rsidR="00D41D71">
        <w:rPr>
          <w:rFonts w:ascii="Times New Roman" w:hAnsi="Times New Roman" w:cs="Times New Roman"/>
        </w:rPr>
        <w:t xml:space="preserve"> e </w:t>
      </w:r>
      <w:r w:rsidR="00D41D71" w:rsidRPr="00D41D71">
        <w:rPr>
          <w:rFonts w:ascii="Times New Roman" w:hAnsi="Times New Roman" w:cs="Times New Roman"/>
        </w:rPr>
        <w:t>Davide Colombi</w:t>
      </w:r>
      <w:r w:rsidR="00D41D71">
        <w:rPr>
          <w:rFonts w:ascii="Times New Roman" w:hAnsi="Times New Roman" w:cs="Times New Roman"/>
        </w:rPr>
        <w:t xml:space="preserve"> (202</w:t>
      </w:r>
      <w:r w:rsidR="00B11BE6">
        <w:rPr>
          <w:rFonts w:ascii="Times New Roman" w:hAnsi="Times New Roman" w:cs="Times New Roman"/>
        </w:rPr>
        <w:t>4</w:t>
      </w:r>
      <w:r w:rsidR="00D41D7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6BAD"/>
    <w:multiLevelType w:val="hybridMultilevel"/>
    <w:tmpl w:val="B0F65234"/>
    <w:lvl w:ilvl="0" w:tplc="91C81C9A">
      <w:start w:val="1"/>
      <w:numFmt w:val="upperRoman"/>
      <w:lvlText w:val="%1."/>
      <w:lvlJc w:val="lef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FB06180"/>
    <w:multiLevelType w:val="multilevel"/>
    <w:tmpl w:val="48DA24F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79E6A99"/>
    <w:multiLevelType w:val="hybridMultilevel"/>
    <w:tmpl w:val="EDB2659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5FA5356"/>
    <w:multiLevelType w:val="hybridMultilevel"/>
    <w:tmpl w:val="46849A00"/>
    <w:lvl w:ilvl="0" w:tplc="C8F864B0">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17"/>
    <w:rsid w:val="00027627"/>
    <w:rsid w:val="00027C6F"/>
    <w:rsid w:val="0003231E"/>
    <w:rsid w:val="00056383"/>
    <w:rsid w:val="00067626"/>
    <w:rsid w:val="000719F5"/>
    <w:rsid w:val="00092549"/>
    <w:rsid w:val="000A1B49"/>
    <w:rsid w:val="000A3733"/>
    <w:rsid w:val="000C1B52"/>
    <w:rsid w:val="000D6DC9"/>
    <w:rsid w:val="000D7036"/>
    <w:rsid w:val="000E6415"/>
    <w:rsid w:val="0010431A"/>
    <w:rsid w:val="00115BE1"/>
    <w:rsid w:val="0014334C"/>
    <w:rsid w:val="00164680"/>
    <w:rsid w:val="00166017"/>
    <w:rsid w:val="00166AC8"/>
    <w:rsid w:val="0019051F"/>
    <w:rsid w:val="00195BC6"/>
    <w:rsid w:val="001B27D2"/>
    <w:rsid w:val="001B4C06"/>
    <w:rsid w:val="001B7711"/>
    <w:rsid w:val="001C32F4"/>
    <w:rsid w:val="001D12ED"/>
    <w:rsid w:val="001D5C40"/>
    <w:rsid w:val="001E4F37"/>
    <w:rsid w:val="001E4F82"/>
    <w:rsid w:val="001F6186"/>
    <w:rsid w:val="00204784"/>
    <w:rsid w:val="00211027"/>
    <w:rsid w:val="0021327D"/>
    <w:rsid w:val="00217941"/>
    <w:rsid w:val="002241A8"/>
    <w:rsid w:val="00226BBC"/>
    <w:rsid w:val="002338D7"/>
    <w:rsid w:val="00235F05"/>
    <w:rsid w:val="0023614E"/>
    <w:rsid w:val="00240EBC"/>
    <w:rsid w:val="002560FB"/>
    <w:rsid w:val="00256AD0"/>
    <w:rsid w:val="00257007"/>
    <w:rsid w:val="00281A45"/>
    <w:rsid w:val="00283E9A"/>
    <w:rsid w:val="002866B5"/>
    <w:rsid w:val="0029378F"/>
    <w:rsid w:val="002A473F"/>
    <w:rsid w:val="002B078F"/>
    <w:rsid w:val="002B2466"/>
    <w:rsid w:val="002B3CBD"/>
    <w:rsid w:val="002B79D8"/>
    <w:rsid w:val="002C4065"/>
    <w:rsid w:val="002C4072"/>
    <w:rsid w:val="002D7942"/>
    <w:rsid w:val="00333646"/>
    <w:rsid w:val="00335795"/>
    <w:rsid w:val="00340FD9"/>
    <w:rsid w:val="00345746"/>
    <w:rsid w:val="00362374"/>
    <w:rsid w:val="00365D8D"/>
    <w:rsid w:val="00372BD7"/>
    <w:rsid w:val="00376B74"/>
    <w:rsid w:val="00397219"/>
    <w:rsid w:val="00397EDA"/>
    <w:rsid w:val="003A6899"/>
    <w:rsid w:val="003B0C3E"/>
    <w:rsid w:val="003B2EC8"/>
    <w:rsid w:val="003B2F0D"/>
    <w:rsid w:val="003B4FE8"/>
    <w:rsid w:val="003B5F92"/>
    <w:rsid w:val="003B7F82"/>
    <w:rsid w:val="003C2A58"/>
    <w:rsid w:val="003D6284"/>
    <w:rsid w:val="003D6636"/>
    <w:rsid w:val="003D6A83"/>
    <w:rsid w:val="003E014A"/>
    <w:rsid w:val="003F57DB"/>
    <w:rsid w:val="004053E5"/>
    <w:rsid w:val="004069EB"/>
    <w:rsid w:val="004070F7"/>
    <w:rsid w:val="0041380B"/>
    <w:rsid w:val="004313A7"/>
    <w:rsid w:val="00444593"/>
    <w:rsid w:val="00455DAC"/>
    <w:rsid w:val="0045662D"/>
    <w:rsid w:val="004665A1"/>
    <w:rsid w:val="0046687B"/>
    <w:rsid w:val="00472103"/>
    <w:rsid w:val="00475730"/>
    <w:rsid w:val="00475FD6"/>
    <w:rsid w:val="00494ABD"/>
    <w:rsid w:val="004972AD"/>
    <w:rsid w:val="004B09AA"/>
    <w:rsid w:val="004B2489"/>
    <w:rsid w:val="004B56AB"/>
    <w:rsid w:val="004B58A2"/>
    <w:rsid w:val="004D5775"/>
    <w:rsid w:val="004E58E1"/>
    <w:rsid w:val="004E62BD"/>
    <w:rsid w:val="004F25DD"/>
    <w:rsid w:val="004F3F2A"/>
    <w:rsid w:val="00500E29"/>
    <w:rsid w:val="0051178B"/>
    <w:rsid w:val="00524168"/>
    <w:rsid w:val="00530EDF"/>
    <w:rsid w:val="00532EBA"/>
    <w:rsid w:val="005364BB"/>
    <w:rsid w:val="005544ED"/>
    <w:rsid w:val="00555080"/>
    <w:rsid w:val="0055551E"/>
    <w:rsid w:val="00555AE8"/>
    <w:rsid w:val="00556E75"/>
    <w:rsid w:val="00573C3B"/>
    <w:rsid w:val="0057701D"/>
    <w:rsid w:val="0058660D"/>
    <w:rsid w:val="005A7504"/>
    <w:rsid w:val="005B3E62"/>
    <w:rsid w:val="005C2074"/>
    <w:rsid w:val="005C222E"/>
    <w:rsid w:val="005C2FC7"/>
    <w:rsid w:val="005D345F"/>
    <w:rsid w:val="005D7529"/>
    <w:rsid w:val="005E7C14"/>
    <w:rsid w:val="005F4339"/>
    <w:rsid w:val="0061060E"/>
    <w:rsid w:val="006121D0"/>
    <w:rsid w:val="006125ED"/>
    <w:rsid w:val="00622AE2"/>
    <w:rsid w:val="00625024"/>
    <w:rsid w:val="00630961"/>
    <w:rsid w:val="00630DC1"/>
    <w:rsid w:val="00646E59"/>
    <w:rsid w:val="00666BCE"/>
    <w:rsid w:val="00673321"/>
    <w:rsid w:val="00673C11"/>
    <w:rsid w:val="00691DA2"/>
    <w:rsid w:val="00692172"/>
    <w:rsid w:val="0069386E"/>
    <w:rsid w:val="006A1D57"/>
    <w:rsid w:val="006A4FE6"/>
    <w:rsid w:val="006A71A3"/>
    <w:rsid w:val="006C0392"/>
    <w:rsid w:val="006C19F6"/>
    <w:rsid w:val="006C7DEA"/>
    <w:rsid w:val="006D22BB"/>
    <w:rsid w:val="006D22CB"/>
    <w:rsid w:val="006D33D6"/>
    <w:rsid w:val="006E326D"/>
    <w:rsid w:val="006E5F85"/>
    <w:rsid w:val="00705DB0"/>
    <w:rsid w:val="007076D0"/>
    <w:rsid w:val="007159ED"/>
    <w:rsid w:val="0072528F"/>
    <w:rsid w:val="00731731"/>
    <w:rsid w:val="007347D6"/>
    <w:rsid w:val="00735CC4"/>
    <w:rsid w:val="007364E3"/>
    <w:rsid w:val="00750F88"/>
    <w:rsid w:val="0075684D"/>
    <w:rsid w:val="00757F12"/>
    <w:rsid w:val="00774798"/>
    <w:rsid w:val="00775C7B"/>
    <w:rsid w:val="0078479E"/>
    <w:rsid w:val="00787C53"/>
    <w:rsid w:val="0079003B"/>
    <w:rsid w:val="00791569"/>
    <w:rsid w:val="00792148"/>
    <w:rsid w:val="0079466C"/>
    <w:rsid w:val="007A2D09"/>
    <w:rsid w:val="007A4D3C"/>
    <w:rsid w:val="007A66D8"/>
    <w:rsid w:val="007B0A08"/>
    <w:rsid w:val="007B0F7E"/>
    <w:rsid w:val="007B3056"/>
    <w:rsid w:val="007B4A9C"/>
    <w:rsid w:val="007B5257"/>
    <w:rsid w:val="007C33F9"/>
    <w:rsid w:val="007D1FAB"/>
    <w:rsid w:val="007E0E61"/>
    <w:rsid w:val="007E3993"/>
    <w:rsid w:val="007F3A15"/>
    <w:rsid w:val="007F3F85"/>
    <w:rsid w:val="008031B1"/>
    <w:rsid w:val="00814964"/>
    <w:rsid w:val="0083673F"/>
    <w:rsid w:val="008410BA"/>
    <w:rsid w:val="00845EDF"/>
    <w:rsid w:val="008570BF"/>
    <w:rsid w:val="00861302"/>
    <w:rsid w:val="00861BC6"/>
    <w:rsid w:val="00863BB7"/>
    <w:rsid w:val="008647A1"/>
    <w:rsid w:val="00874CDB"/>
    <w:rsid w:val="00876F33"/>
    <w:rsid w:val="00883416"/>
    <w:rsid w:val="00886E98"/>
    <w:rsid w:val="00893308"/>
    <w:rsid w:val="008A031F"/>
    <w:rsid w:val="008A1AC7"/>
    <w:rsid w:val="008B63F3"/>
    <w:rsid w:val="008B646D"/>
    <w:rsid w:val="008B7596"/>
    <w:rsid w:val="008C21FE"/>
    <w:rsid w:val="008C3628"/>
    <w:rsid w:val="008D23FD"/>
    <w:rsid w:val="008D4BF8"/>
    <w:rsid w:val="008D5684"/>
    <w:rsid w:val="008E3816"/>
    <w:rsid w:val="008F70CC"/>
    <w:rsid w:val="00900CA9"/>
    <w:rsid w:val="00905890"/>
    <w:rsid w:val="009203DE"/>
    <w:rsid w:val="009254D7"/>
    <w:rsid w:val="0093081B"/>
    <w:rsid w:val="009343CC"/>
    <w:rsid w:val="00936DC5"/>
    <w:rsid w:val="00944697"/>
    <w:rsid w:val="00967D46"/>
    <w:rsid w:val="009722AE"/>
    <w:rsid w:val="009848FD"/>
    <w:rsid w:val="00990063"/>
    <w:rsid w:val="00991E0C"/>
    <w:rsid w:val="009A3AC0"/>
    <w:rsid w:val="009D4097"/>
    <w:rsid w:val="009D7369"/>
    <w:rsid w:val="009E7F4C"/>
    <w:rsid w:val="009F3FB3"/>
    <w:rsid w:val="00A34A69"/>
    <w:rsid w:val="00A4479C"/>
    <w:rsid w:val="00A44C0E"/>
    <w:rsid w:val="00A4696B"/>
    <w:rsid w:val="00A476B9"/>
    <w:rsid w:val="00A53E49"/>
    <w:rsid w:val="00A5479A"/>
    <w:rsid w:val="00A64935"/>
    <w:rsid w:val="00A66711"/>
    <w:rsid w:val="00A70609"/>
    <w:rsid w:val="00A81146"/>
    <w:rsid w:val="00AA26A6"/>
    <w:rsid w:val="00AB45E5"/>
    <w:rsid w:val="00AB638A"/>
    <w:rsid w:val="00AC6CE0"/>
    <w:rsid w:val="00AD7A1D"/>
    <w:rsid w:val="00AE1E18"/>
    <w:rsid w:val="00AE2913"/>
    <w:rsid w:val="00AF1789"/>
    <w:rsid w:val="00AF2D9F"/>
    <w:rsid w:val="00B03634"/>
    <w:rsid w:val="00B10FB4"/>
    <w:rsid w:val="00B11BE6"/>
    <w:rsid w:val="00B202C6"/>
    <w:rsid w:val="00B24917"/>
    <w:rsid w:val="00B279C8"/>
    <w:rsid w:val="00B35936"/>
    <w:rsid w:val="00B40408"/>
    <w:rsid w:val="00B40FCC"/>
    <w:rsid w:val="00B50A46"/>
    <w:rsid w:val="00B66C23"/>
    <w:rsid w:val="00B75083"/>
    <w:rsid w:val="00B753B0"/>
    <w:rsid w:val="00B87655"/>
    <w:rsid w:val="00B964ED"/>
    <w:rsid w:val="00BA0FD1"/>
    <w:rsid w:val="00BA269B"/>
    <w:rsid w:val="00BA3662"/>
    <w:rsid w:val="00BC28EF"/>
    <w:rsid w:val="00BC60A1"/>
    <w:rsid w:val="00BC6571"/>
    <w:rsid w:val="00BD2102"/>
    <w:rsid w:val="00BD2DDB"/>
    <w:rsid w:val="00BE4987"/>
    <w:rsid w:val="00C00978"/>
    <w:rsid w:val="00C2051B"/>
    <w:rsid w:val="00C2135E"/>
    <w:rsid w:val="00C22AF3"/>
    <w:rsid w:val="00C304F2"/>
    <w:rsid w:val="00C32490"/>
    <w:rsid w:val="00C33BC1"/>
    <w:rsid w:val="00C34DFA"/>
    <w:rsid w:val="00C37B11"/>
    <w:rsid w:val="00C430DD"/>
    <w:rsid w:val="00C4585D"/>
    <w:rsid w:val="00C53B06"/>
    <w:rsid w:val="00C553E9"/>
    <w:rsid w:val="00C55C68"/>
    <w:rsid w:val="00C64B9E"/>
    <w:rsid w:val="00C91281"/>
    <w:rsid w:val="00C9188A"/>
    <w:rsid w:val="00CA39BB"/>
    <w:rsid w:val="00CA7FCB"/>
    <w:rsid w:val="00CB50C7"/>
    <w:rsid w:val="00CC3487"/>
    <w:rsid w:val="00CC71D4"/>
    <w:rsid w:val="00CD2798"/>
    <w:rsid w:val="00CD2962"/>
    <w:rsid w:val="00CD47B7"/>
    <w:rsid w:val="00CD7554"/>
    <w:rsid w:val="00CF0E0B"/>
    <w:rsid w:val="00CF4E34"/>
    <w:rsid w:val="00D0194C"/>
    <w:rsid w:val="00D13969"/>
    <w:rsid w:val="00D15C4B"/>
    <w:rsid w:val="00D17547"/>
    <w:rsid w:val="00D17E94"/>
    <w:rsid w:val="00D276E6"/>
    <w:rsid w:val="00D31CC4"/>
    <w:rsid w:val="00D32F4A"/>
    <w:rsid w:val="00D41D71"/>
    <w:rsid w:val="00D45782"/>
    <w:rsid w:val="00D53BDB"/>
    <w:rsid w:val="00D54592"/>
    <w:rsid w:val="00D62727"/>
    <w:rsid w:val="00D807B9"/>
    <w:rsid w:val="00D80CAC"/>
    <w:rsid w:val="00D817C2"/>
    <w:rsid w:val="00D92724"/>
    <w:rsid w:val="00DA1ECF"/>
    <w:rsid w:val="00DA2F5D"/>
    <w:rsid w:val="00DA5A10"/>
    <w:rsid w:val="00DB24FE"/>
    <w:rsid w:val="00DC3C63"/>
    <w:rsid w:val="00DD7D4F"/>
    <w:rsid w:val="00DE5926"/>
    <w:rsid w:val="00DE6E32"/>
    <w:rsid w:val="00DF4320"/>
    <w:rsid w:val="00E02FEA"/>
    <w:rsid w:val="00E04F31"/>
    <w:rsid w:val="00E1359B"/>
    <w:rsid w:val="00E2020F"/>
    <w:rsid w:val="00E2323A"/>
    <w:rsid w:val="00E301FD"/>
    <w:rsid w:val="00E30A3A"/>
    <w:rsid w:val="00E31780"/>
    <w:rsid w:val="00E37D76"/>
    <w:rsid w:val="00E40A92"/>
    <w:rsid w:val="00E45210"/>
    <w:rsid w:val="00E620E1"/>
    <w:rsid w:val="00E62D30"/>
    <w:rsid w:val="00E76642"/>
    <w:rsid w:val="00E779A9"/>
    <w:rsid w:val="00E9056C"/>
    <w:rsid w:val="00E90D51"/>
    <w:rsid w:val="00EB156F"/>
    <w:rsid w:val="00EC09FF"/>
    <w:rsid w:val="00EF0231"/>
    <w:rsid w:val="00EF0676"/>
    <w:rsid w:val="00F05CDD"/>
    <w:rsid w:val="00F0713D"/>
    <w:rsid w:val="00F07AAA"/>
    <w:rsid w:val="00F13C86"/>
    <w:rsid w:val="00F15F19"/>
    <w:rsid w:val="00F16D5B"/>
    <w:rsid w:val="00F409EE"/>
    <w:rsid w:val="00F46D11"/>
    <w:rsid w:val="00F609EC"/>
    <w:rsid w:val="00F62A2B"/>
    <w:rsid w:val="00F749D9"/>
    <w:rsid w:val="00F81FD0"/>
    <w:rsid w:val="00F94E47"/>
    <w:rsid w:val="00FB15B7"/>
    <w:rsid w:val="00FC28D2"/>
    <w:rsid w:val="00FC28EC"/>
    <w:rsid w:val="00FC29C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2692"/>
  <w15:chartTrackingRefBased/>
  <w15:docId w15:val="{956C0821-E262-4DEA-BDE7-CC8CECE2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49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249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2491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2491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2491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249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49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49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49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491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2491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2491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2491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2491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249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49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49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4917"/>
    <w:rPr>
      <w:rFonts w:eastAsiaTheme="majorEastAsia" w:cstheme="majorBidi"/>
      <w:color w:val="272727" w:themeColor="text1" w:themeTint="D8"/>
    </w:rPr>
  </w:style>
  <w:style w:type="paragraph" w:styleId="Ttulo">
    <w:name w:val="Title"/>
    <w:basedOn w:val="Normal"/>
    <w:next w:val="Normal"/>
    <w:link w:val="TtuloCar"/>
    <w:uiPriority w:val="10"/>
    <w:qFormat/>
    <w:rsid w:val="00B24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49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49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49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4917"/>
    <w:pPr>
      <w:spacing w:before="160"/>
      <w:jc w:val="center"/>
    </w:pPr>
    <w:rPr>
      <w:i/>
      <w:iCs/>
      <w:color w:val="404040" w:themeColor="text1" w:themeTint="BF"/>
    </w:rPr>
  </w:style>
  <w:style w:type="character" w:customStyle="1" w:styleId="CitaCar">
    <w:name w:val="Cita Car"/>
    <w:basedOn w:val="Fuentedeprrafopredeter"/>
    <w:link w:val="Cita"/>
    <w:uiPriority w:val="29"/>
    <w:rsid w:val="00B24917"/>
    <w:rPr>
      <w:i/>
      <w:iCs/>
      <w:color w:val="404040" w:themeColor="text1" w:themeTint="BF"/>
    </w:rPr>
  </w:style>
  <w:style w:type="paragraph" w:styleId="Prrafodelista">
    <w:name w:val="List Paragraph"/>
    <w:basedOn w:val="Normal"/>
    <w:uiPriority w:val="34"/>
    <w:qFormat/>
    <w:rsid w:val="00B24917"/>
    <w:pPr>
      <w:ind w:left="720"/>
      <w:contextualSpacing/>
    </w:pPr>
  </w:style>
  <w:style w:type="character" w:styleId="nfasisintenso">
    <w:name w:val="Intense Emphasis"/>
    <w:basedOn w:val="Fuentedeprrafopredeter"/>
    <w:uiPriority w:val="21"/>
    <w:qFormat/>
    <w:rsid w:val="00B24917"/>
    <w:rPr>
      <w:i/>
      <w:iCs/>
      <w:color w:val="2F5496" w:themeColor="accent1" w:themeShade="BF"/>
    </w:rPr>
  </w:style>
  <w:style w:type="paragraph" w:styleId="Citadestacada">
    <w:name w:val="Intense Quote"/>
    <w:basedOn w:val="Normal"/>
    <w:next w:val="Normal"/>
    <w:link w:val="CitadestacadaCar"/>
    <w:uiPriority w:val="30"/>
    <w:qFormat/>
    <w:rsid w:val="00B24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24917"/>
    <w:rPr>
      <w:i/>
      <w:iCs/>
      <w:color w:val="2F5496" w:themeColor="accent1" w:themeShade="BF"/>
    </w:rPr>
  </w:style>
  <w:style w:type="character" w:styleId="Referenciaintensa">
    <w:name w:val="Intense Reference"/>
    <w:basedOn w:val="Fuentedeprrafopredeter"/>
    <w:uiPriority w:val="32"/>
    <w:qFormat/>
    <w:rsid w:val="00B24917"/>
    <w:rPr>
      <w:b/>
      <w:bCs/>
      <w:smallCaps/>
      <w:color w:val="2F5496" w:themeColor="accent1" w:themeShade="BF"/>
      <w:spacing w:val="5"/>
    </w:rPr>
  </w:style>
  <w:style w:type="paragraph" w:styleId="Textonotapie">
    <w:name w:val="footnote text"/>
    <w:basedOn w:val="Normal"/>
    <w:link w:val="TextonotapieCar"/>
    <w:uiPriority w:val="99"/>
    <w:unhideWhenUsed/>
    <w:rsid w:val="00195BC6"/>
    <w:pPr>
      <w:spacing w:after="0" w:line="240" w:lineRule="auto"/>
    </w:pPr>
    <w:rPr>
      <w:sz w:val="20"/>
      <w:szCs w:val="20"/>
    </w:rPr>
  </w:style>
  <w:style w:type="character" w:customStyle="1" w:styleId="TextonotapieCar">
    <w:name w:val="Texto nota pie Car"/>
    <w:basedOn w:val="Fuentedeprrafopredeter"/>
    <w:link w:val="Textonotapie"/>
    <w:uiPriority w:val="99"/>
    <w:rsid w:val="00195BC6"/>
    <w:rPr>
      <w:sz w:val="20"/>
      <w:szCs w:val="20"/>
    </w:rPr>
  </w:style>
  <w:style w:type="character" w:styleId="Refdenotaalpie">
    <w:name w:val="footnote reference"/>
    <w:basedOn w:val="Fuentedeprrafopredeter"/>
    <w:uiPriority w:val="99"/>
    <w:semiHidden/>
    <w:unhideWhenUsed/>
    <w:rsid w:val="00195BC6"/>
    <w:rPr>
      <w:vertAlign w:val="superscript"/>
    </w:rPr>
  </w:style>
  <w:style w:type="character" w:styleId="Refdecomentario">
    <w:name w:val="annotation reference"/>
    <w:basedOn w:val="Fuentedeprrafopredeter"/>
    <w:uiPriority w:val="99"/>
    <w:semiHidden/>
    <w:unhideWhenUsed/>
    <w:rsid w:val="006C7DEA"/>
    <w:rPr>
      <w:sz w:val="16"/>
      <w:szCs w:val="16"/>
    </w:rPr>
  </w:style>
  <w:style w:type="paragraph" w:styleId="Textocomentario">
    <w:name w:val="annotation text"/>
    <w:basedOn w:val="Normal"/>
    <w:link w:val="TextocomentarioCar"/>
    <w:uiPriority w:val="99"/>
    <w:unhideWhenUsed/>
    <w:rsid w:val="006C7DEA"/>
    <w:pPr>
      <w:spacing w:line="240" w:lineRule="auto"/>
    </w:pPr>
    <w:rPr>
      <w:sz w:val="20"/>
      <w:szCs w:val="20"/>
    </w:rPr>
  </w:style>
  <w:style w:type="character" w:customStyle="1" w:styleId="TextocomentarioCar">
    <w:name w:val="Texto comentario Car"/>
    <w:basedOn w:val="Fuentedeprrafopredeter"/>
    <w:link w:val="Textocomentario"/>
    <w:uiPriority w:val="99"/>
    <w:rsid w:val="006C7DEA"/>
    <w:rPr>
      <w:sz w:val="20"/>
      <w:szCs w:val="20"/>
    </w:rPr>
  </w:style>
  <w:style w:type="paragraph" w:styleId="Asuntodelcomentario">
    <w:name w:val="annotation subject"/>
    <w:basedOn w:val="Textocomentario"/>
    <w:next w:val="Textocomentario"/>
    <w:link w:val="AsuntodelcomentarioCar"/>
    <w:uiPriority w:val="99"/>
    <w:semiHidden/>
    <w:unhideWhenUsed/>
    <w:rsid w:val="006C7DEA"/>
    <w:rPr>
      <w:b/>
      <w:bCs/>
    </w:rPr>
  </w:style>
  <w:style w:type="character" w:customStyle="1" w:styleId="AsuntodelcomentarioCar">
    <w:name w:val="Asunto del comentario Car"/>
    <w:basedOn w:val="TextocomentarioCar"/>
    <w:link w:val="Asuntodelcomentario"/>
    <w:uiPriority w:val="99"/>
    <w:semiHidden/>
    <w:rsid w:val="006C7DEA"/>
    <w:rPr>
      <w:b/>
      <w:bCs/>
      <w:sz w:val="20"/>
      <w:szCs w:val="20"/>
    </w:rPr>
  </w:style>
  <w:style w:type="character" w:styleId="Hipervnculo">
    <w:name w:val="Hyperlink"/>
    <w:basedOn w:val="Fuentedeprrafopredeter"/>
    <w:uiPriority w:val="99"/>
    <w:unhideWhenUsed/>
    <w:rsid w:val="00E301FD"/>
    <w:rPr>
      <w:color w:val="0563C1" w:themeColor="hyperlink"/>
      <w:u w:val="single"/>
    </w:rPr>
  </w:style>
  <w:style w:type="character" w:customStyle="1" w:styleId="UnresolvedMention">
    <w:name w:val="Unresolved Mention"/>
    <w:basedOn w:val="Fuentedeprrafopredeter"/>
    <w:uiPriority w:val="99"/>
    <w:semiHidden/>
    <w:unhideWhenUsed/>
    <w:rsid w:val="00E301FD"/>
    <w:rPr>
      <w:color w:val="605E5C"/>
      <w:shd w:val="clear" w:color="auto" w:fill="E1DFDD"/>
    </w:rPr>
  </w:style>
  <w:style w:type="paragraph" w:styleId="Encabezado">
    <w:name w:val="header"/>
    <w:basedOn w:val="Normal"/>
    <w:link w:val="EncabezadoCar"/>
    <w:uiPriority w:val="99"/>
    <w:unhideWhenUsed/>
    <w:rsid w:val="008B64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46D"/>
  </w:style>
  <w:style w:type="paragraph" w:styleId="Piedepgina">
    <w:name w:val="footer"/>
    <w:basedOn w:val="Normal"/>
    <w:link w:val="PiedepginaCar"/>
    <w:uiPriority w:val="99"/>
    <w:unhideWhenUsed/>
    <w:rsid w:val="008B64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87903">
      <w:bodyDiv w:val="1"/>
      <w:marLeft w:val="0"/>
      <w:marRight w:val="0"/>
      <w:marTop w:val="0"/>
      <w:marBottom w:val="0"/>
      <w:divBdr>
        <w:top w:val="none" w:sz="0" w:space="0" w:color="auto"/>
        <w:left w:val="none" w:sz="0" w:space="0" w:color="auto"/>
        <w:bottom w:val="none" w:sz="0" w:space="0" w:color="auto"/>
        <w:right w:val="none" w:sz="0" w:space="0" w:color="auto"/>
      </w:divBdr>
    </w:div>
    <w:div w:id="1283921236">
      <w:bodyDiv w:val="1"/>
      <w:marLeft w:val="0"/>
      <w:marRight w:val="0"/>
      <w:marTop w:val="0"/>
      <w:marBottom w:val="0"/>
      <w:divBdr>
        <w:top w:val="none" w:sz="0" w:space="0" w:color="auto"/>
        <w:left w:val="none" w:sz="0" w:space="0" w:color="auto"/>
        <w:bottom w:val="none" w:sz="0" w:space="0" w:color="auto"/>
        <w:right w:val="none" w:sz="0" w:space="0" w:color="auto"/>
      </w:divBdr>
    </w:div>
    <w:div w:id="1449424892">
      <w:bodyDiv w:val="1"/>
      <w:marLeft w:val="0"/>
      <w:marRight w:val="0"/>
      <w:marTop w:val="0"/>
      <w:marBottom w:val="0"/>
      <w:divBdr>
        <w:top w:val="none" w:sz="0" w:space="0" w:color="auto"/>
        <w:left w:val="none" w:sz="0" w:space="0" w:color="auto"/>
        <w:bottom w:val="none" w:sz="0" w:space="0" w:color="auto"/>
        <w:right w:val="none" w:sz="0" w:space="0" w:color="auto"/>
      </w:divBdr>
    </w:div>
    <w:div w:id="16705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913/ava2202405" TargetMode="External"/><Relationship Id="rId13" Type="http://schemas.openxmlformats.org/officeDocument/2006/relationships/hyperlink" Target="https://www.ceps.eu/ceps-publications/a-rule-of-law-agenda-for-2030/" TargetMode="External"/><Relationship Id="rId18" Type="http://schemas.openxmlformats.org/officeDocument/2006/relationships/hyperlink" Target="https://ec.europa.eu/commission/presscorner/detail/en/ip_24_6251" TargetMode="External"/><Relationship Id="rId3" Type="http://schemas.openxmlformats.org/officeDocument/2006/relationships/styles" Target="styles.xml"/><Relationship Id="rId21" Type="http://schemas.openxmlformats.org/officeDocument/2006/relationships/hyperlink" Target="https://www.politico.eu/article/canadians-want-join-european-union-will-never-happen-paula-pinho/" TargetMode="External"/><Relationship Id="rId7" Type="http://schemas.openxmlformats.org/officeDocument/2006/relationships/endnotes" Target="endnotes.xml"/><Relationship Id="rId12" Type="http://schemas.openxmlformats.org/officeDocument/2006/relationships/hyperlink" Target="https://ukael.org/2024/01/31/changing-for-the-better-reframing-treaty-reform-and-access-to-justice/" TargetMode="External"/><Relationship Id="rId17" Type="http://schemas.openxmlformats.org/officeDocument/2006/relationships/hyperlink" Target="https://ec.europa.eu/commission/presscorner/detail/en/ip_24_1413" TargetMode="External"/><Relationship Id="rId2" Type="http://schemas.openxmlformats.org/officeDocument/2006/relationships/numbering" Target="numbering.xml"/><Relationship Id="rId16" Type="http://schemas.openxmlformats.org/officeDocument/2006/relationships/hyperlink" Target="https://carlospintodeabreu.com/wp-content/uploads/2024/04/2024-04-222-Right-to-appeal-by-the-accused-in-criminal-matters-in-EPPO-Cases.pdf" TargetMode="External"/><Relationship Id="rId20" Type="http://schemas.openxmlformats.org/officeDocument/2006/relationships/hyperlink" Target="https://curia.europa.eu/jcms/jcms/Jo2_702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cum.org/blog/at-least-117-people-criminalised-for-helping-migrants-in-europe-in-2023/" TargetMode="External"/><Relationship Id="rId5" Type="http://schemas.openxmlformats.org/officeDocument/2006/relationships/webSettings" Target="webSettings.xml"/><Relationship Id="rId15" Type="http://schemas.openxmlformats.org/officeDocument/2006/relationships/hyperlink" Target="https://ssrn.com/abstract=4287559" TargetMode="External"/><Relationship Id="rId23" Type="http://schemas.openxmlformats.org/officeDocument/2006/relationships/theme" Target="theme/theme1.xml"/><Relationship Id="rId10" Type="http://schemas.openxmlformats.org/officeDocument/2006/relationships/hyperlink" Target="https://verfassungsblog.de/tackling-orban-problem/" TargetMode="External"/><Relationship Id="rId19" Type="http://schemas.openxmlformats.org/officeDocument/2006/relationships/hyperlink" Target="https://www.consilium.europa.eu/en/infographics/migration-flows-to-europe/" TargetMode="External"/><Relationship Id="rId4" Type="http://schemas.openxmlformats.org/officeDocument/2006/relationships/settings" Target="settings.xml"/><Relationship Id="rId9" Type="http://schemas.openxmlformats.org/officeDocument/2006/relationships/hyperlink" Target="https://eulawlive.com/op-ed-europes-search-for-a-democratic-dividend-between-enlargement-and-treaty-reform-by-alberto-alemanno/" TargetMode="External"/><Relationship Id="rId14" Type="http://schemas.openxmlformats.org/officeDocument/2006/relationships/hyperlink" Target="https://ecba.org/extdocserv/publ/ECBA_STATEMENT_Mutualrecognitionextraditiondecisions_21June2022.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1215-3FC2-4840-91CE-1AACAF77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7182</Words>
  <Characters>39505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Cardoso</dc:creator>
  <cp:keywords/>
  <dc:description/>
  <cp:lastModifiedBy>UCA</cp:lastModifiedBy>
  <cp:revision>2</cp:revision>
  <dcterms:created xsi:type="dcterms:W3CDTF">2025-04-21T20:34:00Z</dcterms:created>
  <dcterms:modified xsi:type="dcterms:W3CDTF">2025-04-21T20:34:00Z</dcterms:modified>
</cp:coreProperties>
</file>