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917D4" w14:textId="252C3107" w:rsidR="00F46E0F" w:rsidRPr="0001779C" w:rsidRDefault="00F46E0F" w:rsidP="00F46E0F">
      <w:pPr>
        <w:pStyle w:val="Bezodstpw"/>
        <w:jc w:val="both"/>
        <w:rPr>
          <w:rFonts w:ascii="Times New Roman" w:hAnsi="Times New Roman" w:cs="Times New Roman"/>
          <w:sz w:val="24"/>
          <w:szCs w:val="24"/>
          <w:lang w:val="es-ES_tradnl"/>
        </w:rPr>
      </w:pPr>
      <w:r w:rsidRPr="0001779C">
        <w:rPr>
          <w:rFonts w:ascii="Times New Roman" w:hAnsi="Times New Roman" w:cs="Times New Roman"/>
          <w:sz w:val="24"/>
          <w:szCs w:val="24"/>
          <w:lang w:val="es-ES_tradnl"/>
        </w:rPr>
        <w:t>dr. hab. Magdalena Matusiak-Frącczak</w:t>
      </w:r>
    </w:p>
    <w:p w14:paraId="4E83E21A" w14:textId="7D50A4A8" w:rsidR="00F46E0F" w:rsidRPr="00F46E0F" w:rsidRDefault="00F46E0F" w:rsidP="00F46E0F">
      <w:pPr>
        <w:pStyle w:val="Bezodstpw"/>
        <w:jc w:val="both"/>
        <w:rPr>
          <w:rFonts w:ascii="Times New Roman" w:hAnsi="Times New Roman" w:cs="Times New Roman"/>
          <w:sz w:val="24"/>
          <w:szCs w:val="24"/>
          <w:lang w:val="es-ES_tradnl"/>
        </w:rPr>
      </w:pPr>
      <w:r w:rsidRPr="00F46E0F">
        <w:rPr>
          <w:rFonts w:ascii="Times New Roman" w:hAnsi="Times New Roman" w:cs="Times New Roman"/>
          <w:sz w:val="24"/>
          <w:szCs w:val="24"/>
          <w:lang w:val="es-ES_tradnl"/>
        </w:rPr>
        <w:t xml:space="preserve">abogada, profesora </w:t>
      </w:r>
      <w:r>
        <w:rPr>
          <w:rFonts w:ascii="Times New Roman" w:hAnsi="Times New Roman" w:cs="Times New Roman"/>
          <w:sz w:val="24"/>
          <w:szCs w:val="24"/>
          <w:lang w:val="es-ES_tradnl"/>
        </w:rPr>
        <w:t>de la Universidad de Łódź</w:t>
      </w:r>
    </w:p>
    <w:p w14:paraId="3485E13A" w14:textId="77777777" w:rsidR="00F46E0F" w:rsidRPr="00F46E0F" w:rsidRDefault="00F46E0F" w:rsidP="00F46E0F">
      <w:pPr>
        <w:pStyle w:val="Bezodstpw"/>
        <w:jc w:val="both"/>
        <w:rPr>
          <w:rFonts w:ascii="Times New Roman" w:hAnsi="Times New Roman" w:cs="Times New Roman"/>
          <w:sz w:val="24"/>
          <w:szCs w:val="24"/>
          <w:lang w:val="es-ES_tradnl"/>
        </w:rPr>
      </w:pPr>
      <w:r w:rsidRPr="00F46E0F">
        <w:rPr>
          <w:rFonts w:ascii="Times New Roman" w:hAnsi="Times New Roman" w:cs="Times New Roman"/>
          <w:sz w:val="24"/>
          <w:szCs w:val="24"/>
          <w:lang w:val="es-ES_tradnl"/>
        </w:rPr>
        <w:t>Departamento de Derecho Constitucional Europeo</w:t>
      </w:r>
    </w:p>
    <w:p w14:paraId="0F1E497C" w14:textId="77777777" w:rsidR="00F46E0F" w:rsidRPr="00F46E0F" w:rsidRDefault="00F46E0F" w:rsidP="00F46E0F">
      <w:pPr>
        <w:pStyle w:val="Bezodstpw"/>
        <w:jc w:val="both"/>
        <w:rPr>
          <w:rFonts w:ascii="Times New Roman" w:hAnsi="Times New Roman" w:cs="Times New Roman"/>
          <w:sz w:val="24"/>
          <w:szCs w:val="24"/>
          <w:lang w:val="es-ES_tradnl"/>
        </w:rPr>
      </w:pPr>
      <w:r w:rsidRPr="00F46E0F">
        <w:rPr>
          <w:rFonts w:ascii="Times New Roman" w:hAnsi="Times New Roman" w:cs="Times New Roman"/>
          <w:sz w:val="24"/>
          <w:szCs w:val="24"/>
          <w:lang w:val="es-ES_tradnl"/>
        </w:rPr>
        <w:t>Facultad de Derecho y de Administración</w:t>
      </w:r>
    </w:p>
    <w:p w14:paraId="17F5E49A" w14:textId="77777777" w:rsidR="00F46E0F" w:rsidRPr="00F46E0F" w:rsidRDefault="00F46E0F" w:rsidP="00F46E0F">
      <w:pPr>
        <w:pStyle w:val="Bezodstpw"/>
        <w:jc w:val="both"/>
        <w:rPr>
          <w:rFonts w:ascii="Times New Roman" w:hAnsi="Times New Roman" w:cs="Times New Roman"/>
          <w:sz w:val="24"/>
          <w:szCs w:val="24"/>
          <w:lang w:val="es-ES_tradnl"/>
        </w:rPr>
      </w:pPr>
      <w:r w:rsidRPr="00F46E0F">
        <w:rPr>
          <w:rFonts w:ascii="Times New Roman" w:hAnsi="Times New Roman" w:cs="Times New Roman"/>
          <w:sz w:val="24"/>
          <w:szCs w:val="24"/>
          <w:lang w:val="es-ES_tradnl"/>
        </w:rPr>
        <w:t>Universidad de Łódź (Polonia)</w:t>
      </w:r>
    </w:p>
    <w:p w14:paraId="4F4FB785" w14:textId="77777777" w:rsidR="00F46E0F" w:rsidRPr="0001779C" w:rsidRDefault="00F46E0F" w:rsidP="00F46E0F">
      <w:pPr>
        <w:pStyle w:val="Bezodstpw"/>
        <w:jc w:val="both"/>
        <w:rPr>
          <w:rStyle w:val="Hipercze"/>
          <w:rFonts w:ascii="Times New Roman" w:hAnsi="Times New Roman"/>
          <w:sz w:val="24"/>
          <w:szCs w:val="24"/>
          <w:lang w:val="es-ES_tradnl"/>
        </w:rPr>
      </w:pPr>
      <w:hyperlink r:id="rId7" w:history="1">
        <w:r w:rsidRPr="00F46E0F">
          <w:rPr>
            <w:rStyle w:val="Hipercze"/>
            <w:rFonts w:ascii="Times New Roman" w:hAnsi="Times New Roman"/>
            <w:sz w:val="24"/>
            <w:szCs w:val="24"/>
            <w:lang w:val="es-ES_tradnl"/>
          </w:rPr>
          <w:t>mfracczak@wpia.uni.lodz.pl</w:t>
        </w:r>
      </w:hyperlink>
    </w:p>
    <w:p w14:paraId="5CF5163D" w14:textId="77777777" w:rsidR="00F46E0F" w:rsidRPr="0001779C" w:rsidRDefault="00F46E0F" w:rsidP="00F46E0F">
      <w:pPr>
        <w:pStyle w:val="Bezodstpw"/>
        <w:jc w:val="both"/>
        <w:rPr>
          <w:rStyle w:val="Hipercze"/>
          <w:rFonts w:ascii="Times New Roman" w:hAnsi="Times New Roman"/>
          <w:sz w:val="24"/>
          <w:szCs w:val="24"/>
          <w:lang w:val="es-ES_tradnl"/>
        </w:rPr>
      </w:pPr>
    </w:p>
    <w:p w14:paraId="178F4B4E" w14:textId="77777777" w:rsidR="003A4ECD" w:rsidRDefault="003A4ECD" w:rsidP="003A4ECD">
      <w:pPr>
        <w:pStyle w:val="Bezodstpw"/>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“La defensa del Estado de Derecho por el Tribunal de Justicia de la Unión Europea”</w:t>
      </w:r>
    </w:p>
    <w:p w14:paraId="6F489C97" w14:textId="77777777" w:rsidR="003A4ECD" w:rsidRDefault="003A4ECD" w:rsidP="003A4ECD">
      <w:pPr>
        <w:pStyle w:val="Bezodstpw"/>
        <w:spacing w:line="360" w:lineRule="auto"/>
        <w:jc w:val="both"/>
        <w:rPr>
          <w:rFonts w:ascii="Times New Roman" w:hAnsi="Times New Roman" w:cs="Times New Roman"/>
          <w:b/>
          <w:bCs/>
          <w:sz w:val="24"/>
          <w:szCs w:val="24"/>
          <w:lang w:val="es-ES_tradnl"/>
        </w:rPr>
      </w:pPr>
    </w:p>
    <w:p w14:paraId="4FAC41F8" w14:textId="77777777" w:rsidR="003A4ECD" w:rsidRPr="00C475D8" w:rsidRDefault="003A4ECD" w:rsidP="003A4ECD">
      <w:pPr>
        <w:pStyle w:val="Bezodstpw"/>
        <w:numPr>
          <w:ilvl w:val="0"/>
          <w:numId w:val="1"/>
        </w:num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Introducción</w:t>
      </w:r>
    </w:p>
    <w:p w14:paraId="1E6B9D57" w14:textId="77777777" w:rsidR="003A4ECD" w:rsidRPr="0001779C" w:rsidRDefault="003A4ECD" w:rsidP="003A4ECD">
      <w:pPr>
        <w:pStyle w:val="Bezodstpw"/>
        <w:spacing w:line="360" w:lineRule="auto"/>
        <w:ind w:firstLine="709"/>
        <w:jc w:val="both"/>
        <w:rPr>
          <w:rFonts w:ascii="Times New Roman" w:hAnsi="Times New Roman" w:cs="Times New Roman"/>
          <w:sz w:val="24"/>
          <w:szCs w:val="24"/>
          <w:lang w:val="es-ES"/>
        </w:rPr>
      </w:pPr>
      <w:r w:rsidRPr="0001779C">
        <w:rPr>
          <w:rFonts w:ascii="Times New Roman" w:hAnsi="Times New Roman" w:cs="Times New Roman"/>
          <w:sz w:val="24"/>
          <w:szCs w:val="24"/>
          <w:lang w:val="es-ES"/>
        </w:rPr>
        <w:t>En los últimos años hemos sido testigos de la crisis del Estado de derecho en diferentes Estados, como Hungría, Polonia o Rumanía. La crisis afectó a la división de poderes (controles y equilibrios), la protección de los derechos humanos, especialmente de las minorías, la libertad de prensa y de las artes, pero sobre todo</w:t>
      </w:r>
      <w:r>
        <w:rPr>
          <w:rFonts w:ascii="Times New Roman" w:hAnsi="Times New Roman" w:cs="Times New Roman"/>
          <w:sz w:val="24"/>
          <w:szCs w:val="24"/>
          <w:lang w:val="es-ES"/>
        </w:rPr>
        <w:t>, dicha crisis</w:t>
      </w:r>
      <w:r w:rsidRPr="0001779C">
        <w:rPr>
          <w:rFonts w:ascii="Times New Roman" w:hAnsi="Times New Roman" w:cs="Times New Roman"/>
          <w:sz w:val="24"/>
          <w:szCs w:val="24"/>
          <w:lang w:val="es-ES"/>
        </w:rPr>
        <w:t xml:space="preserve"> </w:t>
      </w:r>
      <w:r>
        <w:rPr>
          <w:rFonts w:ascii="Times New Roman" w:hAnsi="Times New Roman" w:cs="Times New Roman"/>
          <w:sz w:val="24"/>
          <w:szCs w:val="24"/>
          <w:lang w:val="es-ES"/>
        </w:rPr>
        <w:t>implicó</w:t>
      </w:r>
      <w:r w:rsidRPr="0001779C">
        <w:rPr>
          <w:rFonts w:ascii="Times New Roman" w:hAnsi="Times New Roman" w:cs="Times New Roman"/>
          <w:sz w:val="24"/>
          <w:szCs w:val="24"/>
          <w:lang w:val="es-ES"/>
        </w:rPr>
        <w:t xml:space="preserve"> intentos de politizar el poder judicial. Estos cambios antidemocráticos influyeron </w:t>
      </w:r>
      <w:r>
        <w:rPr>
          <w:rFonts w:ascii="Times New Roman" w:hAnsi="Times New Roman" w:cs="Times New Roman"/>
          <w:sz w:val="24"/>
          <w:szCs w:val="24"/>
          <w:lang w:val="es-ES"/>
        </w:rPr>
        <w:t>a</w:t>
      </w:r>
      <w:r w:rsidRPr="0001779C">
        <w:rPr>
          <w:rFonts w:ascii="Times New Roman" w:hAnsi="Times New Roman" w:cs="Times New Roman"/>
          <w:sz w:val="24"/>
          <w:szCs w:val="24"/>
          <w:lang w:val="es-ES"/>
        </w:rPr>
        <w:t xml:space="preserve">l proceso de nombramiento de jueces, </w:t>
      </w:r>
      <w:r>
        <w:rPr>
          <w:rFonts w:ascii="Times New Roman" w:hAnsi="Times New Roman" w:cs="Times New Roman"/>
          <w:sz w:val="24"/>
          <w:szCs w:val="24"/>
          <w:lang w:val="es-ES"/>
        </w:rPr>
        <w:t xml:space="preserve">a los </w:t>
      </w:r>
      <w:r w:rsidRPr="000B4D76">
        <w:rPr>
          <w:rFonts w:ascii="Times New Roman" w:hAnsi="Times New Roman" w:cs="Times New Roman"/>
          <w:sz w:val="24"/>
          <w:szCs w:val="24"/>
          <w:lang w:val="es-ES"/>
        </w:rPr>
        <w:t>procedimientos disciplinarios</w:t>
      </w:r>
      <w:r>
        <w:rPr>
          <w:rFonts w:ascii="Times New Roman" w:hAnsi="Times New Roman" w:cs="Times New Roman"/>
          <w:sz w:val="24"/>
          <w:szCs w:val="24"/>
          <w:lang w:val="es-ES"/>
        </w:rPr>
        <w:t xml:space="preserve">, </w:t>
      </w:r>
      <w:r w:rsidRPr="0001779C">
        <w:rPr>
          <w:rFonts w:ascii="Times New Roman" w:hAnsi="Times New Roman" w:cs="Times New Roman"/>
          <w:sz w:val="24"/>
          <w:szCs w:val="24"/>
          <w:lang w:val="es-ES"/>
        </w:rPr>
        <w:t xml:space="preserve">así como </w:t>
      </w:r>
      <w:r>
        <w:rPr>
          <w:rFonts w:ascii="Times New Roman" w:hAnsi="Times New Roman" w:cs="Times New Roman"/>
          <w:sz w:val="24"/>
          <w:szCs w:val="24"/>
          <w:lang w:val="es-ES"/>
        </w:rPr>
        <w:t>a</w:t>
      </w:r>
      <w:r w:rsidRPr="0001779C">
        <w:rPr>
          <w:rFonts w:ascii="Times New Roman" w:hAnsi="Times New Roman" w:cs="Times New Roman"/>
          <w:sz w:val="24"/>
          <w:szCs w:val="24"/>
          <w:lang w:val="es-ES"/>
        </w:rPr>
        <w:t>l funcionamiento de los tribunales constitucionales, llegando incluso a hacerlos inoperantes, como es el caso del Tribunal Constitucional polaco.</w:t>
      </w:r>
    </w:p>
    <w:p w14:paraId="217FC8B5" w14:textId="77777777" w:rsidR="003A4ECD" w:rsidRPr="0001779C" w:rsidRDefault="003A4ECD" w:rsidP="003A4ECD">
      <w:pPr>
        <w:pStyle w:val="Bezodstpw"/>
        <w:spacing w:line="360" w:lineRule="auto"/>
        <w:ind w:firstLine="709"/>
        <w:jc w:val="both"/>
        <w:rPr>
          <w:rFonts w:ascii="Times New Roman" w:hAnsi="Times New Roman" w:cs="Times New Roman"/>
          <w:sz w:val="24"/>
          <w:szCs w:val="24"/>
          <w:lang w:val="es-ES_tradnl"/>
        </w:rPr>
      </w:pPr>
      <w:r w:rsidRPr="0001779C">
        <w:rPr>
          <w:rFonts w:ascii="Times New Roman" w:hAnsi="Times New Roman" w:cs="Times New Roman"/>
          <w:sz w:val="24"/>
          <w:szCs w:val="24"/>
          <w:lang w:val="es-ES"/>
        </w:rPr>
        <w:t xml:space="preserve">El poder judicial nacional ha luchado por su independencia, y sus miembros han corrido el riesgo de ser objeto de procedimientos disciplinarios, suspensiones o traslados, a menudo acompañados de reducciones salariales. Al mismo tiempo, han recibido un apoyo inestimable de los tribunales internacionales: el Tribunal de Justicia de la Unión Europea y el Tribunal Europeo de Derechos Humanos. Como el control constitucional se ha vuelto deficiente a nivel nacional, los tribunales internacionales mencionados han sustituido a los mecanismos nacionales para salvaguardar el derecho fundamental a un tribunal independiente e imparcial establecido por la ley y el derecho a un recurso efectivo. </w:t>
      </w:r>
      <w:r>
        <w:rPr>
          <w:rFonts w:ascii="Times New Roman" w:hAnsi="Times New Roman" w:cs="Times New Roman"/>
          <w:sz w:val="24"/>
          <w:szCs w:val="24"/>
          <w:lang w:val="es-ES"/>
        </w:rPr>
        <w:t xml:space="preserve">El TEDH en </w:t>
      </w:r>
      <w:r w:rsidRPr="000B4D76">
        <w:rPr>
          <w:rFonts w:ascii="Times New Roman" w:hAnsi="Times New Roman" w:cs="Times New Roman"/>
          <w:i/>
          <w:iCs/>
          <w:sz w:val="24"/>
          <w:szCs w:val="24"/>
          <w:lang w:val="es-ES_tradnl"/>
        </w:rPr>
        <w:t>Ástráðsson</w:t>
      </w:r>
      <w:r w:rsidRPr="000B4D76">
        <w:rPr>
          <w:rFonts w:ascii="Times New Roman" w:hAnsi="Times New Roman" w:cs="Times New Roman"/>
          <w:sz w:val="24"/>
          <w:szCs w:val="24"/>
          <w:lang w:val="es-ES"/>
        </w:rPr>
        <w:t xml:space="preserve"> s</w:t>
      </w:r>
      <w:r w:rsidRPr="0001779C">
        <w:rPr>
          <w:rFonts w:ascii="Times New Roman" w:hAnsi="Times New Roman" w:cs="Times New Roman"/>
          <w:sz w:val="24"/>
          <w:szCs w:val="24"/>
          <w:lang w:val="es-ES"/>
        </w:rPr>
        <w:t xml:space="preserve">ubrayó que el requisito de que un “tribunal” sea “establecido por ley” tenía por objeto garantizar “que la organización judicial en una sociedad democrática no dependiera de la discreción del ejecutivo, sino que estuviera regulada por una ley emanada del Parlamento”. La noción misma de “tribunal” significa un órgano compuesto por jueces seleccionados sobre la base del mérito, es decir, jueces que cumplieran los requisitos de competencia técnica e integridad moral. El requisito de que sea “establecido” protege al poder judicial contra las influencias externas ilícitas, en particular del ejecutivo, pero también del legislativo o del propio poder judicial. </w:t>
      </w:r>
      <w:r w:rsidRPr="0001779C">
        <w:rPr>
          <w:rFonts w:ascii="Times New Roman" w:hAnsi="Times New Roman" w:cs="Times New Roman"/>
          <w:sz w:val="24"/>
          <w:szCs w:val="24"/>
          <w:lang w:val="es-ES"/>
        </w:rPr>
        <w:lastRenderedPageBreak/>
        <w:t>“Establecido por ley” significa que un tribunal está “establecido de conformidad con la ley”</w:t>
      </w:r>
      <w:r w:rsidRPr="0001779C">
        <w:rPr>
          <w:rFonts w:ascii="Times New Roman" w:hAnsi="Times New Roman" w:cs="Times New Roman"/>
          <w:sz w:val="24"/>
          <w:szCs w:val="24"/>
          <w:vertAlign w:val="superscript"/>
          <w:lang w:val="en-US"/>
        </w:rPr>
        <w:footnoteReference w:id="1"/>
      </w:r>
      <w:r w:rsidRPr="0001779C">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0B4D76">
        <w:rPr>
          <w:rFonts w:ascii="Times New Roman" w:hAnsi="Times New Roman" w:cs="Times New Roman"/>
          <w:sz w:val="24"/>
          <w:szCs w:val="24"/>
          <w:lang w:val="es-ES"/>
        </w:rPr>
        <w:t>Esta interpretación constituye ahora la base para valorar el derecho a un juicio justo.</w:t>
      </w:r>
    </w:p>
    <w:p w14:paraId="3E4380C6" w14:textId="77777777" w:rsidR="003A4ECD" w:rsidRDefault="003A4ECD" w:rsidP="003A4ECD">
      <w:pPr>
        <w:pStyle w:val="Bezodstpw"/>
        <w:spacing w:line="360" w:lineRule="auto"/>
        <w:ind w:firstLine="709"/>
        <w:jc w:val="both"/>
        <w:rPr>
          <w:rFonts w:ascii="Times New Roman" w:hAnsi="Times New Roman" w:cs="Times New Roman"/>
          <w:sz w:val="24"/>
          <w:szCs w:val="24"/>
          <w:lang w:val="es-ES"/>
        </w:rPr>
      </w:pPr>
      <w:r w:rsidRPr="0001779C">
        <w:rPr>
          <w:rFonts w:ascii="Times New Roman" w:hAnsi="Times New Roman" w:cs="Times New Roman"/>
          <w:sz w:val="24"/>
          <w:szCs w:val="24"/>
          <w:lang w:val="es-ES"/>
        </w:rPr>
        <w:t>La jurisprudencia del TJUE y del TEDH permitió a los tribunales nacionales dejar sin aplicar el derecho inconstitucional y mantener su independencia e imparcialidad, a pesar de la presión de</w:t>
      </w:r>
      <w:r>
        <w:rPr>
          <w:rFonts w:ascii="Times New Roman" w:hAnsi="Times New Roman" w:cs="Times New Roman"/>
          <w:sz w:val="24"/>
          <w:szCs w:val="24"/>
          <w:lang w:val="es-ES"/>
        </w:rPr>
        <w:t>l</w:t>
      </w:r>
      <w:r w:rsidRPr="0001779C">
        <w:rPr>
          <w:rFonts w:ascii="Times New Roman" w:hAnsi="Times New Roman" w:cs="Times New Roman"/>
          <w:sz w:val="24"/>
          <w:szCs w:val="24"/>
          <w:lang w:val="es-ES"/>
        </w:rPr>
        <w:t xml:space="preserve"> poder ejecutivo y legislativo</w:t>
      </w:r>
      <w:r>
        <w:rPr>
          <w:rFonts w:ascii="Times New Roman" w:hAnsi="Times New Roman" w:cs="Times New Roman"/>
          <w:sz w:val="24"/>
          <w:szCs w:val="24"/>
          <w:lang w:val="es-ES"/>
        </w:rPr>
        <w:t xml:space="preserve"> o</w:t>
      </w:r>
      <w:r w:rsidRPr="0001779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 </w:t>
      </w:r>
      <w:r w:rsidRPr="0001779C">
        <w:rPr>
          <w:rFonts w:ascii="Times New Roman" w:hAnsi="Times New Roman" w:cs="Times New Roman"/>
          <w:sz w:val="24"/>
          <w:szCs w:val="24"/>
          <w:lang w:val="es-ES"/>
        </w:rPr>
        <w:t>los poderes políticos del gobierno. Esta ponencia se centrará en el rol fundamental que jugó el TJUE en la protección del Estado de Derecho en los Estados miembros de la UE.</w:t>
      </w:r>
      <w:r>
        <w:rPr>
          <w:rFonts w:ascii="Times New Roman" w:hAnsi="Times New Roman" w:cs="Times New Roman"/>
          <w:sz w:val="24"/>
          <w:szCs w:val="24"/>
          <w:lang w:val="es-ES"/>
        </w:rPr>
        <w:t xml:space="preserve"> El Estado de Derecho es un valor fundamental para la Unión Europea, enumerada en el Artículo 2 TUE y protegida por el procedimiento del Artículo 7 TUE. Hasta ahora este procedimiento fue activado dos veces: contra Polonia en el año 2017</w:t>
      </w:r>
      <w:r>
        <w:rPr>
          <w:rStyle w:val="Odwoanieprzypisudolnego"/>
          <w:rFonts w:ascii="Times New Roman" w:hAnsi="Times New Roman" w:cs="Times New Roman"/>
          <w:sz w:val="24"/>
          <w:szCs w:val="24"/>
          <w:lang w:val="es-ES"/>
        </w:rPr>
        <w:footnoteReference w:id="2"/>
      </w:r>
      <w:r>
        <w:rPr>
          <w:rFonts w:ascii="Times New Roman" w:hAnsi="Times New Roman" w:cs="Times New Roman"/>
          <w:sz w:val="24"/>
          <w:szCs w:val="24"/>
          <w:lang w:val="es-ES"/>
        </w:rPr>
        <w:t xml:space="preserve"> y Hungría en el 2018</w:t>
      </w:r>
      <w:r>
        <w:rPr>
          <w:rStyle w:val="Odwoanieprzypisudolnego"/>
          <w:rFonts w:ascii="Times New Roman" w:hAnsi="Times New Roman" w:cs="Times New Roman"/>
          <w:sz w:val="24"/>
          <w:szCs w:val="24"/>
          <w:lang w:val="es-ES"/>
        </w:rPr>
        <w:footnoteReference w:id="3"/>
      </w:r>
      <w:r>
        <w:rPr>
          <w:rFonts w:ascii="Times New Roman" w:hAnsi="Times New Roman" w:cs="Times New Roman"/>
          <w:sz w:val="24"/>
          <w:szCs w:val="24"/>
          <w:lang w:val="es-ES"/>
        </w:rPr>
        <w:t xml:space="preserve">. Debido al cambio político en Polonia, fueron introducidos algunos cambios relativos a la fiscalía o </w:t>
      </w:r>
      <w:r w:rsidRPr="00AE4B47">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los </w:t>
      </w:r>
      <w:r w:rsidRPr="00AE4B47">
        <w:rPr>
          <w:rFonts w:ascii="Times New Roman" w:hAnsi="Times New Roman" w:cs="Times New Roman"/>
          <w:sz w:val="24"/>
          <w:szCs w:val="24"/>
          <w:lang w:val="es-ES"/>
        </w:rPr>
        <w:t>procedimientos disciplinarios contra jueces</w:t>
      </w:r>
      <w:r>
        <w:rPr>
          <w:rFonts w:ascii="Times New Roman" w:hAnsi="Times New Roman" w:cs="Times New Roman"/>
          <w:sz w:val="24"/>
          <w:szCs w:val="24"/>
          <w:lang w:val="es-ES"/>
        </w:rPr>
        <w:t xml:space="preserve">. Además, el ministro de justicia polaco, Adam Bodnar, </w:t>
      </w:r>
      <w:r w:rsidRPr="00AE4B47">
        <w:rPr>
          <w:rFonts w:ascii="Times New Roman" w:hAnsi="Times New Roman" w:cs="Times New Roman"/>
          <w:sz w:val="24"/>
          <w:szCs w:val="24"/>
          <w:lang w:val="es-ES"/>
        </w:rPr>
        <w:t>propuso a los países de la UE el Plan de Acción Polaco para el Restablecimiento del Estado de Derecho</w:t>
      </w:r>
      <w:r>
        <w:rPr>
          <w:rFonts w:ascii="Times New Roman" w:hAnsi="Times New Roman" w:cs="Times New Roman"/>
          <w:sz w:val="24"/>
          <w:szCs w:val="24"/>
          <w:lang w:val="es-ES"/>
        </w:rPr>
        <w:t>. Todo eso causó, que la Comisión Europea cesó la aplicación del procedimiento del Artículo 7 TUE contra Polonia</w:t>
      </w:r>
      <w:r>
        <w:rPr>
          <w:rStyle w:val="Odwoanieprzypisudolnego"/>
          <w:rFonts w:ascii="Times New Roman" w:hAnsi="Times New Roman" w:cs="Times New Roman"/>
          <w:sz w:val="24"/>
          <w:szCs w:val="24"/>
          <w:lang w:val="es-ES"/>
        </w:rPr>
        <w:footnoteReference w:id="4"/>
      </w:r>
      <w:r>
        <w:rPr>
          <w:rFonts w:ascii="Times New Roman" w:hAnsi="Times New Roman" w:cs="Times New Roman"/>
          <w:sz w:val="24"/>
          <w:szCs w:val="24"/>
          <w:lang w:val="es-ES"/>
        </w:rPr>
        <w:t>. Desgraciadamente, algunas decisiones del TJUE que se presentarán en este texto, todavía no han sido implementadas en Polonia. A pesar de eso, el TJUE fue un apoyo fundamental para el sistema de justicia polaca que luchaba por su independencia de los poderes políticos.</w:t>
      </w:r>
    </w:p>
    <w:p w14:paraId="3EB00E89" w14:textId="77777777" w:rsidR="003A4ECD" w:rsidRDefault="003A4ECD" w:rsidP="003A4ECD">
      <w:pPr>
        <w:pStyle w:val="Bezodstpw"/>
        <w:spacing w:line="360" w:lineRule="auto"/>
        <w:ind w:firstLine="709"/>
        <w:jc w:val="both"/>
        <w:rPr>
          <w:rFonts w:ascii="Times New Roman" w:hAnsi="Times New Roman" w:cs="Times New Roman"/>
          <w:sz w:val="24"/>
          <w:szCs w:val="24"/>
          <w:lang w:val="es-ES"/>
        </w:rPr>
      </w:pPr>
      <w:r w:rsidRPr="000B4D76">
        <w:rPr>
          <w:rFonts w:ascii="Times New Roman" w:hAnsi="Times New Roman" w:cs="Times New Roman"/>
          <w:sz w:val="24"/>
          <w:szCs w:val="24"/>
          <w:lang w:val="es-ES"/>
        </w:rPr>
        <w:t xml:space="preserve">La jurisprudencia del TJUE se puede dividir en tres grupos. La primera categoría incluye sentencias que </w:t>
      </w:r>
      <w:r>
        <w:rPr>
          <w:rFonts w:ascii="Times New Roman" w:hAnsi="Times New Roman" w:cs="Times New Roman"/>
          <w:sz w:val="24"/>
          <w:szCs w:val="24"/>
          <w:lang w:val="es-ES"/>
        </w:rPr>
        <w:t>están</w:t>
      </w:r>
      <w:r w:rsidRPr="000B4D76">
        <w:rPr>
          <w:rFonts w:ascii="Times New Roman" w:hAnsi="Times New Roman" w:cs="Times New Roman"/>
          <w:sz w:val="24"/>
          <w:szCs w:val="24"/>
          <w:lang w:val="es-ES"/>
        </w:rPr>
        <w:t xml:space="preserve"> relaciona</w:t>
      </w:r>
      <w:r>
        <w:rPr>
          <w:rFonts w:ascii="Times New Roman" w:hAnsi="Times New Roman" w:cs="Times New Roman"/>
          <w:sz w:val="24"/>
          <w:szCs w:val="24"/>
          <w:lang w:val="es-ES"/>
        </w:rPr>
        <w:t>das</w:t>
      </w:r>
      <w:r w:rsidRPr="000B4D76">
        <w:rPr>
          <w:rFonts w:ascii="Times New Roman" w:hAnsi="Times New Roman" w:cs="Times New Roman"/>
          <w:sz w:val="24"/>
          <w:szCs w:val="24"/>
          <w:lang w:val="es-ES"/>
        </w:rPr>
        <w:t xml:space="preserve"> con la independencia de los tribunales en general. Luego podemos señalar resoluciones relativas a procedimientos disciplinarios en </w:t>
      </w:r>
      <w:r>
        <w:rPr>
          <w:rFonts w:ascii="Times New Roman" w:hAnsi="Times New Roman" w:cs="Times New Roman"/>
          <w:sz w:val="24"/>
          <w:szCs w:val="24"/>
          <w:lang w:val="es-ES"/>
        </w:rPr>
        <w:t xml:space="preserve">el </w:t>
      </w:r>
      <w:r w:rsidRPr="000B4D76">
        <w:rPr>
          <w:rFonts w:ascii="Times New Roman" w:hAnsi="Times New Roman" w:cs="Times New Roman"/>
          <w:sz w:val="24"/>
          <w:szCs w:val="24"/>
          <w:lang w:val="es-ES"/>
        </w:rPr>
        <w:t xml:space="preserve">sentido amplio. Por último, es posible distinguir sentencias relativas a la </w:t>
      </w:r>
      <w:r>
        <w:rPr>
          <w:rFonts w:ascii="Times New Roman" w:hAnsi="Times New Roman" w:cs="Times New Roman"/>
          <w:sz w:val="24"/>
          <w:szCs w:val="24"/>
          <w:lang w:val="es-ES"/>
        </w:rPr>
        <w:t>o</w:t>
      </w:r>
      <w:r w:rsidRPr="000B4D76">
        <w:rPr>
          <w:rFonts w:ascii="Times New Roman" w:hAnsi="Times New Roman" w:cs="Times New Roman"/>
          <w:sz w:val="24"/>
          <w:szCs w:val="24"/>
          <w:lang w:val="es-ES"/>
        </w:rPr>
        <w:t xml:space="preserve">rden de </w:t>
      </w:r>
      <w:r>
        <w:rPr>
          <w:rFonts w:ascii="Times New Roman" w:hAnsi="Times New Roman" w:cs="Times New Roman"/>
          <w:sz w:val="24"/>
          <w:szCs w:val="24"/>
          <w:lang w:val="es-ES"/>
        </w:rPr>
        <w:t>d</w:t>
      </w:r>
      <w:r w:rsidRPr="000B4D76">
        <w:rPr>
          <w:rFonts w:ascii="Times New Roman" w:hAnsi="Times New Roman" w:cs="Times New Roman"/>
          <w:sz w:val="24"/>
          <w:szCs w:val="24"/>
          <w:lang w:val="es-ES"/>
        </w:rPr>
        <w:t xml:space="preserve">etención </w:t>
      </w:r>
      <w:r>
        <w:rPr>
          <w:rFonts w:ascii="Times New Roman" w:hAnsi="Times New Roman" w:cs="Times New Roman"/>
          <w:sz w:val="24"/>
          <w:szCs w:val="24"/>
          <w:lang w:val="es-ES"/>
        </w:rPr>
        <w:t>e</w:t>
      </w:r>
      <w:r w:rsidRPr="000B4D76">
        <w:rPr>
          <w:rFonts w:ascii="Times New Roman" w:hAnsi="Times New Roman" w:cs="Times New Roman"/>
          <w:sz w:val="24"/>
          <w:szCs w:val="24"/>
          <w:lang w:val="es-ES"/>
        </w:rPr>
        <w:t>uropea. Estas cuestiones serán objeto de este estudio.</w:t>
      </w:r>
    </w:p>
    <w:p w14:paraId="40E46DAA" w14:textId="77777777" w:rsidR="003C1E3A" w:rsidRPr="00F46E0F" w:rsidRDefault="003C1E3A" w:rsidP="003A4ECD">
      <w:pPr>
        <w:pStyle w:val="Bezodstpw"/>
        <w:spacing w:line="360" w:lineRule="auto"/>
        <w:jc w:val="both"/>
        <w:rPr>
          <w:lang w:val="es-ES_tradnl"/>
        </w:rPr>
      </w:pPr>
    </w:p>
    <w:sectPr w:rsidR="003C1E3A" w:rsidRPr="00F46E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B0467" w14:textId="77777777" w:rsidR="001E7F17" w:rsidRDefault="001E7F17" w:rsidP="00F46E0F">
      <w:pPr>
        <w:spacing w:after="0" w:line="240" w:lineRule="auto"/>
      </w:pPr>
      <w:r>
        <w:separator/>
      </w:r>
    </w:p>
  </w:endnote>
  <w:endnote w:type="continuationSeparator" w:id="0">
    <w:p w14:paraId="2088363F" w14:textId="77777777" w:rsidR="001E7F17" w:rsidRDefault="001E7F17" w:rsidP="00F4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6929" w14:textId="77777777" w:rsidR="001E7F17" w:rsidRDefault="001E7F17" w:rsidP="00F46E0F">
      <w:pPr>
        <w:spacing w:after="0" w:line="240" w:lineRule="auto"/>
      </w:pPr>
      <w:r>
        <w:separator/>
      </w:r>
    </w:p>
  </w:footnote>
  <w:footnote w:type="continuationSeparator" w:id="0">
    <w:p w14:paraId="6632846A" w14:textId="77777777" w:rsidR="001E7F17" w:rsidRDefault="001E7F17" w:rsidP="00F46E0F">
      <w:pPr>
        <w:spacing w:after="0" w:line="240" w:lineRule="auto"/>
      </w:pPr>
      <w:r>
        <w:continuationSeparator/>
      </w:r>
    </w:p>
  </w:footnote>
  <w:footnote w:id="1">
    <w:p w14:paraId="032A791C" w14:textId="77777777" w:rsidR="003A4ECD" w:rsidRDefault="003A4ECD" w:rsidP="003A4ECD">
      <w:pPr>
        <w:pStyle w:val="Tekstprzypisudolnego"/>
        <w:jc w:val="both"/>
        <w:rPr>
          <w:rFonts w:ascii="Times New Roman" w:hAnsi="Times New Roman" w:cs="Times New Roman"/>
          <w:lang w:val="es-ES_tradnl"/>
        </w:rPr>
      </w:pPr>
      <w:r>
        <w:rPr>
          <w:rStyle w:val="Odwoanieprzypisudolnego"/>
          <w:rFonts w:ascii="Times New Roman" w:hAnsi="Times New Roman" w:cs="Times New Roman"/>
        </w:rPr>
        <w:footnoteRef/>
      </w:r>
      <w:r>
        <w:rPr>
          <w:rFonts w:ascii="Times New Roman" w:hAnsi="Times New Roman" w:cs="Times New Roman"/>
          <w:lang w:val="es-ES_tradnl"/>
        </w:rPr>
        <w:t xml:space="preserve"> TEDH, </w:t>
      </w:r>
      <w:r w:rsidRPr="009510FB">
        <w:rPr>
          <w:rFonts w:ascii="Times New Roman" w:hAnsi="Times New Roman" w:cs="Times New Roman"/>
          <w:i/>
          <w:iCs/>
          <w:lang w:val="es-ES_tradnl"/>
        </w:rPr>
        <w:t>Ástráðsson</w:t>
      </w:r>
      <w:r>
        <w:rPr>
          <w:rFonts w:ascii="Times New Roman" w:hAnsi="Times New Roman" w:cs="Times New Roman"/>
          <w:lang w:val="es-ES_tradnl"/>
        </w:rPr>
        <w:t xml:space="preserve"> </w:t>
      </w:r>
      <w:r w:rsidRPr="009510FB">
        <w:rPr>
          <w:rFonts w:ascii="Times New Roman" w:hAnsi="Times New Roman" w:cs="Times New Roman"/>
          <w:i/>
          <w:iCs/>
          <w:lang w:val="es-ES_tradnl"/>
        </w:rPr>
        <w:t>c. Iceland</w:t>
      </w:r>
      <w:r>
        <w:rPr>
          <w:rFonts w:ascii="Times New Roman" w:hAnsi="Times New Roman" w:cs="Times New Roman"/>
          <w:lang w:val="es-ES_tradnl"/>
        </w:rPr>
        <w:t>, 26374/18, 1 de diciembre de 2020.</w:t>
      </w:r>
    </w:p>
  </w:footnote>
  <w:footnote w:id="2">
    <w:p w14:paraId="0F74EAC3" w14:textId="77777777" w:rsidR="003A4ECD" w:rsidRPr="00067C62" w:rsidRDefault="003A4ECD" w:rsidP="003A4ECD">
      <w:pPr>
        <w:pStyle w:val="Tekstprzypisudolnego"/>
        <w:jc w:val="both"/>
        <w:rPr>
          <w:rFonts w:ascii="Times New Roman" w:hAnsi="Times New Roman" w:cs="Times New Roman"/>
          <w:lang w:val="es-ES_tradnl"/>
        </w:rPr>
      </w:pPr>
      <w:r w:rsidRPr="00CA67DB">
        <w:rPr>
          <w:rStyle w:val="Odwoanieprzypisudolnego"/>
          <w:rFonts w:ascii="Times New Roman" w:hAnsi="Times New Roman" w:cs="Times New Roman"/>
        </w:rPr>
        <w:footnoteRef/>
      </w:r>
      <w:r w:rsidRPr="00CA67DB">
        <w:rPr>
          <w:rFonts w:ascii="Times New Roman" w:hAnsi="Times New Roman" w:cs="Times New Roman"/>
          <w:lang w:val="es-ES_tradnl"/>
        </w:rPr>
        <w:t xml:space="preserve"> Comisión </w:t>
      </w:r>
      <w:r w:rsidRPr="00CA67DB">
        <w:rPr>
          <w:rFonts w:ascii="Times New Roman" w:hAnsi="Times New Roman" w:cs="Times New Roman"/>
          <w:lang w:val="es-ES_tradnl"/>
        </w:rPr>
        <w:t xml:space="preserve">Europea, Propuesta </w:t>
      </w:r>
      <w:r>
        <w:rPr>
          <w:rFonts w:ascii="Times New Roman" w:hAnsi="Times New Roman" w:cs="Times New Roman"/>
          <w:lang w:val="es-ES_tradnl"/>
        </w:rPr>
        <w:t xml:space="preserve">de decisión del Consejo </w:t>
      </w:r>
      <w:r w:rsidRPr="00CA67DB">
        <w:rPr>
          <w:rFonts w:ascii="Times New Roman" w:hAnsi="Times New Roman" w:cs="Times New Roman"/>
          <w:lang w:val="es-ES_tradnl"/>
        </w:rPr>
        <w:t>relativa a la constatación de un riesgo claro de violación grave del Estado de Derecho por parte de la República de Polonia</w:t>
      </w:r>
      <w:r>
        <w:rPr>
          <w:rFonts w:ascii="Times New Roman" w:hAnsi="Times New Roman" w:cs="Times New Roman"/>
          <w:lang w:val="es-ES_tradnl"/>
        </w:rPr>
        <w:t xml:space="preserve">, </w:t>
      </w:r>
      <w:r w:rsidRPr="00CA67DB">
        <w:rPr>
          <w:rFonts w:ascii="Times New Roman" w:hAnsi="Times New Roman" w:cs="Times New Roman"/>
          <w:lang w:val="es-ES_tradnl"/>
        </w:rPr>
        <w:t>Bruselas, 20.12.2017</w:t>
      </w:r>
      <w:r>
        <w:rPr>
          <w:rFonts w:ascii="Times New Roman" w:hAnsi="Times New Roman" w:cs="Times New Roman"/>
          <w:lang w:val="es-ES_tradnl"/>
        </w:rPr>
        <w:t xml:space="preserve">, </w:t>
      </w:r>
      <w:r w:rsidRPr="00CA67DB">
        <w:rPr>
          <w:rFonts w:ascii="Times New Roman" w:hAnsi="Times New Roman" w:cs="Times New Roman"/>
          <w:lang w:val="es-ES_tradnl"/>
        </w:rPr>
        <w:t>COM(2017) 835 final</w:t>
      </w:r>
      <w:r>
        <w:rPr>
          <w:rFonts w:ascii="Times New Roman" w:hAnsi="Times New Roman" w:cs="Times New Roman"/>
          <w:lang w:val="es-ES_tradnl"/>
        </w:rPr>
        <w:t xml:space="preserve">, </w:t>
      </w:r>
      <w:r w:rsidRPr="00CA67DB">
        <w:rPr>
          <w:rFonts w:ascii="Times New Roman" w:hAnsi="Times New Roman" w:cs="Times New Roman"/>
          <w:lang w:val="es-ES_tradnl"/>
        </w:rPr>
        <w:t>2017/0360(NLE)</w:t>
      </w:r>
      <w:r>
        <w:rPr>
          <w:rFonts w:ascii="Times New Roman" w:hAnsi="Times New Roman" w:cs="Times New Roman"/>
          <w:lang w:val="es-ES_tradnl"/>
        </w:rPr>
        <w:t xml:space="preserve">, </w:t>
      </w:r>
      <w:hyperlink r:id="rId1" w:history="1">
        <w:r w:rsidRPr="00C42C73">
          <w:rPr>
            <w:rStyle w:val="Hipercze"/>
            <w:rFonts w:ascii="Times New Roman" w:hAnsi="Times New Roman"/>
            <w:lang w:val="es-ES_tradnl"/>
          </w:rPr>
          <w:t>https://eur-lex.europa.eu/legal-content/ES/TXT/HTML/?uri=CELEX:52017PC0835</w:t>
        </w:r>
      </w:hyperlink>
      <w:r>
        <w:rPr>
          <w:rFonts w:ascii="Times New Roman" w:hAnsi="Times New Roman" w:cs="Times New Roman"/>
          <w:lang w:val="es-ES_tradnl"/>
        </w:rPr>
        <w:t xml:space="preserve"> (acceso: 2025-02-11). La CE fue apoyada por el Parlamento Europeo en 2018: </w:t>
      </w:r>
      <w:r w:rsidRPr="00067C62">
        <w:rPr>
          <w:rFonts w:ascii="Times New Roman" w:hAnsi="Times New Roman" w:cs="Times New Roman"/>
          <w:lang w:val="es-ES_tradnl"/>
        </w:rPr>
        <w:t>Resolución del Parlamento Europeo, de 1 de marzo de 2018, sobre la decisión de la Comisión de activar el artículo 7, apartado 1, del TUE en relación con la situación en Polonia (2018/2541(RSP))</w:t>
      </w:r>
      <w:r>
        <w:rPr>
          <w:rFonts w:ascii="Times New Roman" w:hAnsi="Times New Roman" w:cs="Times New Roman"/>
          <w:lang w:val="es-ES_tradnl"/>
        </w:rPr>
        <w:t xml:space="preserve">, </w:t>
      </w:r>
      <w:hyperlink r:id="rId2" w:history="1">
        <w:r w:rsidRPr="00C42C73">
          <w:rPr>
            <w:rStyle w:val="Hipercze"/>
            <w:rFonts w:ascii="Times New Roman" w:hAnsi="Times New Roman"/>
            <w:lang w:val="es-ES_tradnl"/>
          </w:rPr>
          <w:t>https://www.europarl.europa.eu/doceo/document/TA-8-2018-0055_ES.html</w:t>
        </w:r>
      </w:hyperlink>
      <w:r>
        <w:rPr>
          <w:rFonts w:ascii="Times New Roman" w:hAnsi="Times New Roman" w:cs="Times New Roman"/>
          <w:lang w:val="es-ES_tradnl"/>
        </w:rPr>
        <w:t xml:space="preserve"> (acceso: 2025-02-11).</w:t>
      </w:r>
    </w:p>
  </w:footnote>
  <w:footnote w:id="3">
    <w:p w14:paraId="135EE82D" w14:textId="77777777" w:rsidR="003A4ECD" w:rsidRPr="00067C62" w:rsidRDefault="003A4ECD" w:rsidP="003A4ECD">
      <w:pPr>
        <w:pStyle w:val="Tekstprzypisudolnego"/>
        <w:jc w:val="both"/>
        <w:rPr>
          <w:rFonts w:ascii="Times New Roman" w:hAnsi="Times New Roman" w:cs="Times New Roman"/>
          <w:lang w:val="es-ES_tradnl"/>
        </w:rPr>
      </w:pPr>
      <w:r w:rsidRPr="00067C62">
        <w:rPr>
          <w:rStyle w:val="Odwoanieprzypisudolnego"/>
          <w:rFonts w:ascii="Times New Roman" w:hAnsi="Times New Roman" w:cs="Times New Roman"/>
        </w:rPr>
        <w:footnoteRef/>
      </w:r>
      <w:r w:rsidRPr="00067C62">
        <w:rPr>
          <w:rFonts w:ascii="Times New Roman" w:hAnsi="Times New Roman" w:cs="Times New Roman"/>
          <w:lang w:val="es-ES_tradnl"/>
        </w:rPr>
        <w:t xml:space="preserve"> Resolución </w:t>
      </w:r>
      <w:r w:rsidRPr="00067C62">
        <w:rPr>
          <w:rFonts w:ascii="Times New Roman" w:hAnsi="Times New Roman" w:cs="Times New Roman"/>
          <w:lang w:val="es-ES_tradnl"/>
        </w:rPr>
        <w:t>del Parlamento Europeo, de 12 de septiembre de 2018, sobre una propuesta en la que solicita al Consejo que, de conformidad con el artículo 7, apartado 1, del Tratado de la Unión Europea, constate la existencia de un riesgo claro de violación grave por parte de Hungría de los valores en los que se fundamenta la Unión (2017/2131(INL))</w:t>
      </w:r>
      <w:r>
        <w:rPr>
          <w:rFonts w:ascii="Times New Roman" w:hAnsi="Times New Roman" w:cs="Times New Roman"/>
          <w:lang w:val="es-ES_tradnl"/>
        </w:rPr>
        <w:t xml:space="preserve">, </w:t>
      </w:r>
      <w:r>
        <w:fldChar w:fldCharType="begin"/>
      </w:r>
      <w:r w:rsidRPr="003A4ECD">
        <w:rPr>
          <w:lang w:val="es-ES_tradnl"/>
        </w:rPr>
        <w:instrText>HYPERLINK "https://www.europarl.europa.eu/doceo/document/TA-8-2018-0340_ES.html"</w:instrText>
      </w:r>
      <w:r>
        <w:fldChar w:fldCharType="separate"/>
      </w:r>
      <w:r w:rsidRPr="00C42C73">
        <w:rPr>
          <w:rStyle w:val="Hipercze"/>
          <w:rFonts w:ascii="Times New Roman" w:hAnsi="Times New Roman"/>
          <w:lang w:val="es-ES_tradnl"/>
        </w:rPr>
        <w:t>https://www.europarl.europa.eu/doceo/document/TA-8-2018-0340_ES.html</w:t>
      </w:r>
      <w:r>
        <w:fldChar w:fldCharType="end"/>
      </w:r>
      <w:r>
        <w:rPr>
          <w:rFonts w:ascii="Times New Roman" w:hAnsi="Times New Roman" w:cs="Times New Roman"/>
          <w:lang w:val="es-ES_tradnl"/>
        </w:rPr>
        <w:t xml:space="preserve"> (acceso: 2025-02-11). </w:t>
      </w:r>
    </w:p>
  </w:footnote>
  <w:footnote w:id="4">
    <w:p w14:paraId="3AFDCCB5" w14:textId="77777777" w:rsidR="003A4ECD" w:rsidRPr="00AE4B47" w:rsidRDefault="003A4ECD" w:rsidP="003A4ECD">
      <w:pPr>
        <w:pStyle w:val="Tekstprzypisudolnego"/>
        <w:jc w:val="both"/>
        <w:rPr>
          <w:rFonts w:ascii="Times New Roman" w:hAnsi="Times New Roman" w:cs="Times New Roman"/>
        </w:rPr>
      </w:pPr>
      <w:r w:rsidRPr="00AE4B47">
        <w:rPr>
          <w:rStyle w:val="Odwoanieprzypisudolnego"/>
          <w:rFonts w:ascii="Times New Roman" w:hAnsi="Times New Roman" w:cs="Times New Roman"/>
        </w:rPr>
        <w:footnoteRef/>
      </w:r>
      <w:r w:rsidRPr="00AE4B47">
        <w:rPr>
          <w:rFonts w:ascii="Times New Roman" w:hAnsi="Times New Roman" w:cs="Times New Roman"/>
        </w:rPr>
        <w:t xml:space="preserve"> </w:t>
      </w:r>
      <w:r w:rsidRPr="00AE4B47">
        <w:rPr>
          <w:rFonts w:ascii="Times New Roman" w:hAnsi="Times New Roman" w:cs="Times New Roman"/>
          <w:bCs/>
        </w:rPr>
        <w:t xml:space="preserve">Ministerstwo Sprawiedliwości, </w:t>
      </w:r>
      <w:r w:rsidRPr="00AE4B47">
        <w:rPr>
          <w:rFonts w:ascii="Times New Roman" w:hAnsi="Times New Roman" w:cs="Times New Roman"/>
          <w:bCs/>
          <w:i/>
          <w:iCs/>
        </w:rPr>
        <w:t xml:space="preserve">Zakończenie procedury z </w:t>
      </w:r>
      <w:bookmarkStart w:id="0" w:name="WKP_AL_00173"/>
      <w:r w:rsidRPr="00AE4B47">
        <w:rPr>
          <w:rFonts w:ascii="Times New Roman" w:hAnsi="Times New Roman" w:cs="Times New Roman"/>
          <w:bCs/>
          <w:i/>
          <w:iCs/>
        </w:rPr>
        <w:t>art. 7</w:t>
      </w:r>
      <w:bookmarkEnd w:id="0"/>
      <w:r w:rsidRPr="00AE4B47">
        <w:rPr>
          <w:rFonts w:ascii="Times New Roman" w:hAnsi="Times New Roman" w:cs="Times New Roman"/>
          <w:bCs/>
          <w:i/>
          <w:iCs/>
        </w:rPr>
        <w:t xml:space="preserve"> Traktatu o UE wobec Polski, </w:t>
      </w:r>
      <w:hyperlink r:id="rId3" w:history="1">
        <w:r w:rsidRPr="00C42C73">
          <w:rPr>
            <w:rStyle w:val="Hipercze"/>
            <w:rFonts w:ascii="Times New Roman" w:hAnsi="Times New Roman"/>
            <w:bCs/>
          </w:rPr>
          <w:t>https://www.gov.pl/web/sprawiedliwosc/zakonczenie-procedury-z-art-7-traktatu-o-ue-wobec-polski</w:t>
        </w:r>
      </w:hyperlink>
      <w:r>
        <w:rPr>
          <w:rFonts w:ascii="Times New Roman" w:hAnsi="Times New Roman" w:cs="Times New Roman"/>
          <w:bCs/>
          <w:u w:color="FF0000"/>
        </w:rPr>
        <w:t xml:space="preserve"> </w:t>
      </w:r>
      <w:r w:rsidRPr="00AE4B47">
        <w:rPr>
          <w:rFonts w:ascii="Times New Roman" w:hAnsi="Times New Roman" w:cs="Times New Roman"/>
          <w:bCs/>
        </w:rPr>
        <w:t>(</w:t>
      </w:r>
      <w:proofErr w:type="spellStart"/>
      <w:r>
        <w:rPr>
          <w:rFonts w:ascii="Times New Roman" w:hAnsi="Times New Roman" w:cs="Times New Roman"/>
          <w:bCs/>
        </w:rPr>
        <w:t>acceso</w:t>
      </w:r>
      <w:proofErr w:type="spellEnd"/>
      <w:r w:rsidRPr="00AE4B47">
        <w:rPr>
          <w:rFonts w:ascii="Times New Roman" w:hAnsi="Times New Roman" w:cs="Times New Roman"/>
          <w:bCs/>
        </w:rPr>
        <w:t xml:space="preserve">: </w:t>
      </w:r>
      <w:r>
        <w:rPr>
          <w:rFonts w:ascii="Times New Roman" w:hAnsi="Times New Roman" w:cs="Times New Roman"/>
          <w:bCs/>
        </w:rPr>
        <w:t>2025-02-11).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94D7E"/>
    <w:multiLevelType w:val="hybridMultilevel"/>
    <w:tmpl w:val="F872D8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521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D2"/>
    <w:rsid w:val="0001779C"/>
    <w:rsid w:val="000B62E9"/>
    <w:rsid w:val="001E7F17"/>
    <w:rsid w:val="00257C39"/>
    <w:rsid w:val="00295F6A"/>
    <w:rsid w:val="003A4ECD"/>
    <w:rsid w:val="003C1E3A"/>
    <w:rsid w:val="004F13D2"/>
    <w:rsid w:val="004F3B3F"/>
    <w:rsid w:val="0050738A"/>
    <w:rsid w:val="0059467A"/>
    <w:rsid w:val="00A2272D"/>
    <w:rsid w:val="00B002EC"/>
    <w:rsid w:val="00F4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20C0"/>
  <w15:chartTrackingRefBased/>
  <w15:docId w15:val="{334A8636-A497-44FA-8C53-EC15CE9A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1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1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13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13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13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13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13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13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13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13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13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13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13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13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13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13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13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13D2"/>
    <w:rPr>
      <w:rFonts w:eastAsiaTheme="majorEastAsia" w:cstheme="majorBidi"/>
      <w:color w:val="272727" w:themeColor="text1" w:themeTint="D8"/>
    </w:rPr>
  </w:style>
  <w:style w:type="paragraph" w:styleId="Tytu">
    <w:name w:val="Title"/>
    <w:basedOn w:val="Normalny"/>
    <w:next w:val="Normalny"/>
    <w:link w:val="TytuZnak"/>
    <w:uiPriority w:val="10"/>
    <w:qFormat/>
    <w:rsid w:val="004F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13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13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13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13D2"/>
    <w:pPr>
      <w:spacing w:before="160"/>
      <w:jc w:val="center"/>
    </w:pPr>
    <w:rPr>
      <w:i/>
      <w:iCs/>
      <w:color w:val="404040" w:themeColor="text1" w:themeTint="BF"/>
    </w:rPr>
  </w:style>
  <w:style w:type="character" w:customStyle="1" w:styleId="CytatZnak">
    <w:name w:val="Cytat Znak"/>
    <w:basedOn w:val="Domylnaczcionkaakapitu"/>
    <w:link w:val="Cytat"/>
    <w:uiPriority w:val="29"/>
    <w:rsid w:val="004F13D2"/>
    <w:rPr>
      <w:i/>
      <w:iCs/>
      <w:color w:val="404040" w:themeColor="text1" w:themeTint="BF"/>
    </w:rPr>
  </w:style>
  <w:style w:type="paragraph" w:styleId="Akapitzlist">
    <w:name w:val="List Paragraph"/>
    <w:basedOn w:val="Normalny"/>
    <w:uiPriority w:val="34"/>
    <w:qFormat/>
    <w:rsid w:val="004F13D2"/>
    <w:pPr>
      <w:ind w:left="720"/>
      <w:contextualSpacing/>
    </w:pPr>
  </w:style>
  <w:style w:type="character" w:styleId="Wyrnienieintensywne">
    <w:name w:val="Intense Emphasis"/>
    <w:basedOn w:val="Domylnaczcionkaakapitu"/>
    <w:uiPriority w:val="21"/>
    <w:qFormat/>
    <w:rsid w:val="004F13D2"/>
    <w:rPr>
      <w:i/>
      <w:iCs/>
      <w:color w:val="0F4761" w:themeColor="accent1" w:themeShade="BF"/>
    </w:rPr>
  </w:style>
  <w:style w:type="paragraph" w:styleId="Cytatintensywny">
    <w:name w:val="Intense Quote"/>
    <w:basedOn w:val="Normalny"/>
    <w:next w:val="Normalny"/>
    <w:link w:val="CytatintensywnyZnak"/>
    <w:uiPriority w:val="30"/>
    <w:qFormat/>
    <w:rsid w:val="004F1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13D2"/>
    <w:rPr>
      <w:i/>
      <w:iCs/>
      <w:color w:val="0F4761" w:themeColor="accent1" w:themeShade="BF"/>
    </w:rPr>
  </w:style>
  <w:style w:type="character" w:styleId="Odwoanieintensywne">
    <w:name w:val="Intense Reference"/>
    <w:basedOn w:val="Domylnaczcionkaakapitu"/>
    <w:uiPriority w:val="32"/>
    <w:qFormat/>
    <w:rsid w:val="004F13D2"/>
    <w:rPr>
      <w:b/>
      <w:bCs/>
      <w:smallCaps/>
      <w:color w:val="0F4761" w:themeColor="accent1" w:themeShade="BF"/>
      <w:spacing w:val="5"/>
    </w:rPr>
  </w:style>
  <w:style w:type="paragraph" w:styleId="Bezodstpw">
    <w:name w:val="No Spacing"/>
    <w:uiPriority w:val="1"/>
    <w:qFormat/>
    <w:rsid w:val="00F46E0F"/>
    <w:pPr>
      <w:spacing w:after="0" w:line="240" w:lineRule="auto"/>
    </w:pPr>
  </w:style>
  <w:style w:type="character" w:styleId="Hipercze">
    <w:name w:val="Hyperlink"/>
    <w:basedOn w:val="Domylnaczcionkaakapitu"/>
    <w:uiPriority w:val="99"/>
    <w:rsid w:val="00F46E0F"/>
    <w:rPr>
      <w:rFonts w:cs="Times New Roman"/>
      <w:color w:val="436994"/>
      <w:u w:val="none"/>
      <w:effect w:val="none"/>
    </w:rPr>
  </w:style>
  <w:style w:type="character" w:customStyle="1" w:styleId="sbb9ee52a">
    <w:name w:val="sbb9ee52a"/>
    <w:basedOn w:val="Domylnaczcionkaakapitu"/>
    <w:rsid w:val="00F46E0F"/>
  </w:style>
  <w:style w:type="paragraph" w:styleId="Tekstprzypisudolnego">
    <w:name w:val="footnote text"/>
    <w:basedOn w:val="Normalny"/>
    <w:link w:val="TekstprzypisudolnegoZnak"/>
    <w:uiPriority w:val="99"/>
    <w:semiHidden/>
    <w:unhideWhenUsed/>
    <w:rsid w:val="00F46E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6E0F"/>
    <w:rPr>
      <w:sz w:val="20"/>
      <w:szCs w:val="20"/>
    </w:rPr>
  </w:style>
  <w:style w:type="character" w:styleId="Odwoanieprzypisudolnego">
    <w:name w:val="footnote reference"/>
    <w:basedOn w:val="Domylnaczcionkaakapitu"/>
    <w:uiPriority w:val="99"/>
    <w:semiHidden/>
    <w:unhideWhenUsed/>
    <w:rsid w:val="00F46E0F"/>
    <w:rPr>
      <w:vertAlign w:val="superscript"/>
    </w:rPr>
  </w:style>
  <w:style w:type="character" w:customStyle="1" w:styleId="s29100277">
    <w:name w:val="s29100277"/>
    <w:basedOn w:val="Domylnaczcionkaakapitu"/>
    <w:rsid w:val="00F46E0F"/>
  </w:style>
  <w:style w:type="character" w:customStyle="1" w:styleId="wordhighlighted">
    <w:name w:val="wordhighlighted"/>
    <w:basedOn w:val="Domylnaczcionkaakapitu"/>
    <w:rsid w:val="00F4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233134">
      <w:bodyDiv w:val="1"/>
      <w:marLeft w:val="0"/>
      <w:marRight w:val="0"/>
      <w:marTop w:val="0"/>
      <w:marBottom w:val="0"/>
      <w:divBdr>
        <w:top w:val="none" w:sz="0" w:space="0" w:color="auto"/>
        <w:left w:val="none" w:sz="0" w:space="0" w:color="auto"/>
        <w:bottom w:val="none" w:sz="0" w:space="0" w:color="auto"/>
        <w:right w:val="none" w:sz="0" w:space="0" w:color="auto"/>
      </w:divBdr>
    </w:div>
    <w:div w:id="16078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racczak@wpia.uni.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sprawiedliwosc/zakonczenie-procedury-z-art-7-traktatu-o-ue-wobec-polski" TargetMode="External"/><Relationship Id="rId2" Type="http://schemas.openxmlformats.org/officeDocument/2006/relationships/hyperlink" Target="https://www.europarl.europa.eu/doceo/document/TA-8-2018-0055_ES.html" TargetMode="External"/><Relationship Id="rId1" Type="http://schemas.openxmlformats.org/officeDocument/2006/relationships/hyperlink" Target="https://eur-lex.europa.eu/legal-content/ES/TXT/HTML/?uri=CELEX:52017PC083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3732</Characters>
  <Application>Microsoft Office Word</Application>
  <DocSecurity>0</DocSecurity>
  <Lines>31</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Matusiak-Frącczak</dc:creator>
  <cp:keywords/>
  <dc:description/>
  <cp:lastModifiedBy>Magdalena Matusiak-Frącczak</cp:lastModifiedBy>
  <cp:revision>4</cp:revision>
  <dcterms:created xsi:type="dcterms:W3CDTF">2024-10-28T11:52:00Z</dcterms:created>
  <dcterms:modified xsi:type="dcterms:W3CDTF">2025-05-25T09:44:00Z</dcterms:modified>
</cp:coreProperties>
</file>