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9E856" w14:textId="77777777" w:rsidR="00530A4B" w:rsidRPr="00530A4B" w:rsidRDefault="00530A4B" w:rsidP="00530A4B">
      <w:pPr>
        <w:jc w:val="center"/>
        <w:rPr>
          <w:rFonts w:ascii="Times New Roman" w:hAnsi="Times New Roman" w:cs="Times New Roman"/>
          <w:b/>
          <w:bCs/>
          <w:sz w:val="28"/>
          <w:szCs w:val="28"/>
        </w:rPr>
      </w:pPr>
      <w:bookmarkStart w:id="0" w:name="_GoBack"/>
      <w:bookmarkEnd w:id="0"/>
    </w:p>
    <w:p w14:paraId="2BD2F80C" w14:textId="77777777" w:rsidR="00530A4B" w:rsidRPr="00530A4B" w:rsidRDefault="00530A4B" w:rsidP="00530A4B">
      <w:pPr>
        <w:jc w:val="center"/>
        <w:rPr>
          <w:rFonts w:ascii="Times New Roman" w:hAnsi="Times New Roman" w:cs="Times New Roman"/>
          <w:b/>
          <w:bCs/>
          <w:sz w:val="28"/>
          <w:szCs w:val="28"/>
        </w:rPr>
      </w:pPr>
      <w:r w:rsidRPr="00530A4B">
        <w:rPr>
          <w:rFonts w:ascii="Times New Roman" w:hAnsi="Times New Roman" w:cs="Times New Roman"/>
          <w:b/>
          <w:bCs/>
          <w:sz w:val="28"/>
          <w:szCs w:val="28"/>
        </w:rPr>
        <w:t>EL PODER JUDICIAL EUROPEO: GARANTÍA DEL ESTADO DE DERECHO Y HERRAMIENTA DE REFUERZO DE LA INTEGRACIÓN EUROPEA</w:t>
      </w:r>
    </w:p>
    <w:p w14:paraId="57829ECD" w14:textId="77777777" w:rsidR="00530A4B" w:rsidRPr="000C09C5" w:rsidRDefault="00530A4B" w:rsidP="00530A4B">
      <w:pPr>
        <w:rPr>
          <w:rFonts w:ascii="Times New Roman" w:hAnsi="Times New Roman" w:cs="Times New Roman"/>
        </w:rPr>
      </w:pPr>
    </w:p>
    <w:p w14:paraId="49131263" w14:textId="77777777" w:rsidR="00530A4B" w:rsidRPr="000C09C5" w:rsidRDefault="00530A4B" w:rsidP="00530A4B">
      <w:pPr>
        <w:jc w:val="right"/>
        <w:rPr>
          <w:rFonts w:ascii="Times New Roman" w:hAnsi="Times New Roman" w:cs="Times New Roman"/>
          <w:sz w:val="24"/>
          <w:szCs w:val="24"/>
        </w:rPr>
      </w:pPr>
      <w:r w:rsidRPr="000C09C5">
        <w:rPr>
          <w:rFonts w:ascii="Times New Roman" w:hAnsi="Times New Roman" w:cs="Times New Roman"/>
          <w:sz w:val="24"/>
          <w:szCs w:val="24"/>
        </w:rPr>
        <w:t>Juan Gálvez Galisteo</w:t>
      </w:r>
    </w:p>
    <w:p w14:paraId="7BB539BA" w14:textId="77777777" w:rsidR="00530A4B" w:rsidRPr="000C09C5" w:rsidRDefault="00530A4B" w:rsidP="00530A4B">
      <w:pPr>
        <w:jc w:val="right"/>
        <w:rPr>
          <w:rFonts w:ascii="Times New Roman" w:hAnsi="Times New Roman" w:cs="Times New Roman"/>
          <w:sz w:val="24"/>
          <w:szCs w:val="24"/>
        </w:rPr>
      </w:pPr>
      <w:r w:rsidRPr="000C09C5">
        <w:rPr>
          <w:rFonts w:ascii="Times New Roman" w:hAnsi="Times New Roman" w:cs="Times New Roman"/>
          <w:sz w:val="24"/>
          <w:szCs w:val="24"/>
        </w:rPr>
        <w:t>Investigador Predoctoral FPI</w:t>
      </w:r>
      <w:r w:rsidRPr="000C09C5">
        <w:rPr>
          <w:rStyle w:val="Refdenotaalpie"/>
          <w:rFonts w:ascii="Times New Roman" w:hAnsi="Times New Roman" w:cs="Times New Roman"/>
          <w:sz w:val="24"/>
          <w:szCs w:val="24"/>
        </w:rPr>
        <w:footnoteReference w:id="1"/>
      </w:r>
    </w:p>
    <w:p w14:paraId="727485A2" w14:textId="77777777" w:rsidR="00530A4B" w:rsidRPr="000C09C5" w:rsidRDefault="00530A4B" w:rsidP="00530A4B">
      <w:pPr>
        <w:jc w:val="right"/>
        <w:rPr>
          <w:rFonts w:ascii="Times New Roman" w:hAnsi="Times New Roman" w:cs="Times New Roman"/>
          <w:sz w:val="24"/>
          <w:szCs w:val="24"/>
        </w:rPr>
      </w:pPr>
      <w:r w:rsidRPr="000C09C5">
        <w:rPr>
          <w:rFonts w:ascii="Times New Roman" w:hAnsi="Times New Roman" w:cs="Times New Roman"/>
          <w:sz w:val="24"/>
          <w:szCs w:val="24"/>
        </w:rPr>
        <w:t>Universidad de Sevilla</w:t>
      </w:r>
    </w:p>
    <w:p w14:paraId="7B379BCC" w14:textId="77777777" w:rsidR="00530A4B" w:rsidRPr="000C09C5" w:rsidRDefault="00675289" w:rsidP="00530A4B">
      <w:pPr>
        <w:jc w:val="right"/>
        <w:rPr>
          <w:rFonts w:ascii="Times New Roman" w:hAnsi="Times New Roman" w:cs="Times New Roman"/>
          <w:sz w:val="28"/>
          <w:szCs w:val="28"/>
        </w:rPr>
      </w:pPr>
      <w:hyperlink r:id="rId6" w:history="1">
        <w:r w:rsidR="00530A4B" w:rsidRPr="000C09C5">
          <w:rPr>
            <w:rStyle w:val="Hipervnculo"/>
            <w:rFonts w:ascii="Times New Roman" w:hAnsi="Times New Roman" w:cs="Times New Roman"/>
            <w:sz w:val="28"/>
            <w:szCs w:val="28"/>
          </w:rPr>
          <w:t>jgalvez6@us.es</w:t>
        </w:r>
      </w:hyperlink>
    </w:p>
    <w:p w14:paraId="797995D3" w14:textId="77777777" w:rsidR="008C4F30" w:rsidRDefault="008C4F30"/>
    <w:p w14:paraId="311D80BB" w14:textId="77777777" w:rsidR="00530A4B" w:rsidRDefault="00530A4B"/>
    <w:p w14:paraId="224CF99F" w14:textId="37070C97" w:rsidR="00F35F29" w:rsidRDefault="00F35F29" w:rsidP="00F35F29">
      <w:pPr>
        <w:spacing w:line="360" w:lineRule="auto"/>
        <w:jc w:val="both"/>
        <w:rPr>
          <w:rFonts w:ascii="Times New Roman" w:hAnsi="Times New Roman" w:cs="Times New Roman"/>
          <w:sz w:val="24"/>
          <w:szCs w:val="24"/>
        </w:rPr>
      </w:pPr>
      <w:r>
        <w:rPr>
          <w:rFonts w:ascii="Times New Roman" w:hAnsi="Times New Roman" w:cs="Times New Roman"/>
          <w:sz w:val="24"/>
          <w:szCs w:val="24"/>
        </w:rPr>
        <w:t>En el espacio jurídico europeo, en concreto en el seno de la Unión Europea (UE), la intranquilidad alrededor del Estado de Derecho comenzó hace aproximadamente quince años y ha tenido como principales</w:t>
      </w:r>
      <w:r w:rsidRPr="00A83B3B">
        <w:rPr>
          <w:rFonts w:ascii="Times New Roman" w:hAnsi="Times New Roman" w:cs="Times New Roman"/>
          <w:sz w:val="24"/>
          <w:szCs w:val="24"/>
        </w:rPr>
        <w:t xml:space="preserve"> focos de atención</w:t>
      </w:r>
      <w:r>
        <w:rPr>
          <w:rFonts w:ascii="Times New Roman" w:hAnsi="Times New Roman" w:cs="Times New Roman"/>
          <w:sz w:val="24"/>
          <w:szCs w:val="24"/>
        </w:rPr>
        <w:t xml:space="preserve"> los Estados miembros de Hungría y Polonia, aunque la preocupación ha sido extendida, pudiéndose catalogar como una crisis generalizada de los valores europeos.</w:t>
      </w:r>
      <w:r w:rsidR="00373C9D">
        <w:rPr>
          <w:rFonts w:ascii="Times New Roman" w:hAnsi="Times New Roman" w:cs="Times New Roman"/>
          <w:sz w:val="24"/>
          <w:szCs w:val="24"/>
        </w:rPr>
        <w:t xml:space="preserve"> </w:t>
      </w:r>
      <w:r>
        <w:rPr>
          <w:rFonts w:ascii="Times New Roman" w:hAnsi="Times New Roman" w:cs="Times New Roman"/>
          <w:sz w:val="24"/>
          <w:szCs w:val="24"/>
        </w:rPr>
        <w:t xml:space="preserve">Como en tantos otros momentos del proceso de integración europea, el Tribunal de Justicia de la Unión Europea (TJUE) ha desempeñado un rol imprescindible en estos tiempos de crisis del Estado de Derecho. Ha centrado su línea de actuación en el desarrollo de la conceptualización de la independencia judicial en la Unión Europea como principio básico del Estado de Derecho, con la clara intencionalidad de la defensa </w:t>
      </w:r>
      <w:r w:rsidR="006A7679">
        <w:rPr>
          <w:rFonts w:ascii="Times New Roman" w:hAnsi="Times New Roman" w:cs="Times New Roman"/>
          <w:sz w:val="24"/>
          <w:szCs w:val="24"/>
        </w:rPr>
        <w:t>de este valor europeo.</w:t>
      </w:r>
    </w:p>
    <w:p w14:paraId="5710DB34" w14:textId="1AB5FACA" w:rsidR="006A7679" w:rsidRDefault="005D0C53" w:rsidP="00F35F29">
      <w:pPr>
        <w:spacing w:line="360" w:lineRule="auto"/>
        <w:jc w:val="both"/>
        <w:rPr>
          <w:rFonts w:ascii="Times New Roman" w:hAnsi="Times New Roman" w:cs="Times New Roman"/>
          <w:sz w:val="24"/>
          <w:szCs w:val="24"/>
        </w:rPr>
      </w:pPr>
      <w:r>
        <w:rPr>
          <w:rFonts w:ascii="Times New Roman" w:hAnsi="Times New Roman" w:cs="Times New Roman"/>
          <w:sz w:val="24"/>
          <w:szCs w:val="24"/>
        </w:rPr>
        <w:t>La desafección de los ciudadanos hacia las instituciones, entre ellas las europeas, debido a la crisis económica que comienza a finales de la primera década del actual siglo fue el caldo de cultivo idóneo para el desarrollo de determinados discursos. Expertos politólogos han señalado las políticas europeas de austeridad, las respuestas a la crisis económica, la inmigración y el multiculturalismo propios de la globalización, el desempleo y la desilusión con los partidos mainstream y la democracia representativa como posibles causas para el apoyo a partidos y movimientos que promueven la xenofobia, el etno-nacionalismo y el populismo antisistema.</w:t>
      </w:r>
      <w:r w:rsidR="004C7DDA">
        <w:rPr>
          <w:rFonts w:ascii="Times New Roman" w:hAnsi="Times New Roman" w:cs="Times New Roman"/>
          <w:sz w:val="24"/>
          <w:szCs w:val="24"/>
        </w:rPr>
        <w:t xml:space="preserve"> Entre las prácticas de este tipo de movimientos políticos, una vez que alcanzan cotas de poder, se </w:t>
      </w:r>
      <w:r w:rsidR="00577526">
        <w:rPr>
          <w:rFonts w:ascii="Times New Roman" w:hAnsi="Times New Roman" w:cs="Times New Roman"/>
          <w:sz w:val="24"/>
          <w:szCs w:val="24"/>
        </w:rPr>
        <w:t xml:space="preserve">han podido </w:t>
      </w:r>
      <w:r w:rsidR="00577526">
        <w:rPr>
          <w:rFonts w:ascii="Times New Roman" w:hAnsi="Times New Roman" w:cs="Times New Roman"/>
          <w:sz w:val="24"/>
          <w:szCs w:val="24"/>
        </w:rPr>
        <w:lastRenderedPageBreak/>
        <w:t>observar muy particularmente ataques a la independencia judicial</w:t>
      </w:r>
      <w:r w:rsidR="00D57DBB">
        <w:rPr>
          <w:rFonts w:ascii="Times New Roman" w:hAnsi="Times New Roman" w:cs="Times New Roman"/>
          <w:sz w:val="24"/>
          <w:szCs w:val="24"/>
        </w:rPr>
        <w:t xml:space="preserve"> como estrategia cuya finalidad no es otra que red</w:t>
      </w:r>
      <w:r w:rsidR="008531DE">
        <w:rPr>
          <w:rFonts w:ascii="Times New Roman" w:hAnsi="Times New Roman" w:cs="Times New Roman"/>
          <w:sz w:val="24"/>
          <w:szCs w:val="24"/>
        </w:rPr>
        <w:t>ucir o eliminar los controles al poder. Se interviene en sus nombramientos y composición de los órganos de</w:t>
      </w:r>
      <w:r w:rsidR="004962A4">
        <w:rPr>
          <w:rFonts w:ascii="Times New Roman" w:hAnsi="Times New Roman" w:cs="Times New Roman"/>
          <w:sz w:val="24"/>
          <w:szCs w:val="24"/>
        </w:rPr>
        <w:t xml:space="preserve"> gobierno de</w:t>
      </w:r>
      <w:r w:rsidR="00E206E9">
        <w:rPr>
          <w:rFonts w:ascii="Times New Roman" w:hAnsi="Times New Roman" w:cs="Times New Roman"/>
          <w:sz w:val="24"/>
          <w:szCs w:val="24"/>
        </w:rPr>
        <w:t>l poder judicial</w:t>
      </w:r>
      <w:r w:rsidR="004962A4">
        <w:rPr>
          <w:rFonts w:ascii="Times New Roman" w:hAnsi="Times New Roman" w:cs="Times New Roman"/>
          <w:sz w:val="24"/>
          <w:szCs w:val="24"/>
        </w:rPr>
        <w:t xml:space="preserve">, de los altos tribunales, en la estructura y en las funciones </w:t>
      </w:r>
      <w:r w:rsidR="00E206E9">
        <w:rPr>
          <w:rFonts w:ascii="Times New Roman" w:hAnsi="Times New Roman" w:cs="Times New Roman"/>
          <w:sz w:val="24"/>
          <w:szCs w:val="24"/>
        </w:rPr>
        <w:t>de los tribunales constitucionales, en la edad de jubilación o la inamovilidad, entre otras.</w:t>
      </w:r>
      <w:r w:rsidR="00577526">
        <w:rPr>
          <w:rFonts w:ascii="Times New Roman" w:hAnsi="Times New Roman" w:cs="Times New Roman"/>
          <w:sz w:val="24"/>
          <w:szCs w:val="24"/>
        </w:rPr>
        <w:t xml:space="preserve"> </w:t>
      </w:r>
    </w:p>
    <w:p w14:paraId="691B6521" w14:textId="2EF9CF61" w:rsidR="00082829" w:rsidRDefault="00082829" w:rsidP="0008282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 esta situación de crisis constitucional de los valores europeos, provocada </w:t>
      </w:r>
      <w:r w:rsidR="00D91154">
        <w:rPr>
          <w:rFonts w:ascii="Times New Roman" w:hAnsi="Times New Roman" w:cs="Times New Roman"/>
          <w:sz w:val="24"/>
          <w:szCs w:val="24"/>
        </w:rPr>
        <w:t xml:space="preserve">por varias razones, de entre la que destacamos la independencia judicial como </w:t>
      </w:r>
      <w:r w:rsidR="00373C9D">
        <w:rPr>
          <w:rFonts w:ascii="Times New Roman" w:hAnsi="Times New Roman" w:cs="Times New Roman"/>
          <w:sz w:val="24"/>
          <w:szCs w:val="24"/>
        </w:rPr>
        <w:t xml:space="preserve">elemento esencial del </w:t>
      </w:r>
      <w:r>
        <w:rPr>
          <w:rFonts w:ascii="Times New Roman" w:hAnsi="Times New Roman" w:cs="Times New Roman"/>
          <w:sz w:val="24"/>
          <w:szCs w:val="24"/>
        </w:rPr>
        <w:t>Estado de Derecho, surgió la</w:t>
      </w:r>
      <w:r w:rsidR="0054598A">
        <w:rPr>
          <w:rFonts w:ascii="Times New Roman" w:hAnsi="Times New Roman" w:cs="Times New Roman"/>
          <w:sz w:val="24"/>
          <w:szCs w:val="24"/>
        </w:rPr>
        <w:t xml:space="preserve"> necesidad y</w:t>
      </w:r>
      <w:r>
        <w:rPr>
          <w:rFonts w:ascii="Times New Roman" w:hAnsi="Times New Roman" w:cs="Times New Roman"/>
          <w:sz w:val="24"/>
          <w:szCs w:val="24"/>
        </w:rPr>
        <w:t xml:space="preserve"> oportunidad de defenderlos y avanzar afianzándolos.</w:t>
      </w:r>
      <w:r w:rsidR="0066171E">
        <w:rPr>
          <w:rFonts w:ascii="Times New Roman" w:hAnsi="Times New Roman" w:cs="Times New Roman"/>
          <w:sz w:val="24"/>
          <w:szCs w:val="24"/>
        </w:rPr>
        <w:t xml:space="preserve"> </w:t>
      </w:r>
      <w:r w:rsidR="00196680">
        <w:rPr>
          <w:rFonts w:ascii="Times New Roman" w:hAnsi="Times New Roman" w:cs="Times New Roman"/>
          <w:sz w:val="24"/>
          <w:szCs w:val="24"/>
        </w:rPr>
        <w:t xml:space="preserve">El presente estudio expone el desarrollo </w:t>
      </w:r>
      <w:r w:rsidR="00A77635">
        <w:rPr>
          <w:rFonts w:ascii="Times New Roman" w:hAnsi="Times New Roman" w:cs="Times New Roman"/>
          <w:sz w:val="24"/>
          <w:szCs w:val="24"/>
        </w:rPr>
        <w:t>d</w:t>
      </w:r>
      <w:r w:rsidR="00196680">
        <w:rPr>
          <w:rFonts w:ascii="Times New Roman" w:hAnsi="Times New Roman" w:cs="Times New Roman"/>
          <w:sz w:val="24"/>
          <w:szCs w:val="24"/>
        </w:rPr>
        <w:t>el rol de defensa que ha desempeñado el TJUE</w:t>
      </w:r>
      <w:r w:rsidR="00196EDC">
        <w:rPr>
          <w:rFonts w:ascii="Times New Roman" w:hAnsi="Times New Roman" w:cs="Times New Roman"/>
          <w:sz w:val="24"/>
          <w:szCs w:val="24"/>
        </w:rPr>
        <w:t xml:space="preserve"> en los últimos </w:t>
      </w:r>
      <w:r w:rsidR="00505412">
        <w:rPr>
          <w:rFonts w:ascii="Times New Roman" w:hAnsi="Times New Roman" w:cs="Times New Roman"/>
          <w:sz w:val="24"/>
          <w:szCs w:val="24"/>
        </w:rPr>
        <w:t xml:space="preserve">años con una novedosa construcción jurisprudencial </w:t>
      </w:r>
      <w:r w:rsidR="00E21072">
        <w:rPr>
          <w:rFonts w:ascii="Times New Roman" w:hAnsi="Times New Roman" w:cs="Times New Roman"/>
          <w:sz w:val="24"/>
          <w:szCs w:val="24"/>
        </w:rPr>
        <w:t>que parte d</w:t>
      </w:r>
      <w:r w:rsidR="00505412">
        <w:rPr>
          <w:rFonts w:ascii="Times New Roman" w:hAnsi="Times New Roman" w:cs="Times New Roman"/>
          <w:sz w:val="24"/>
          <w:szCs w:val="24"/>
        </w:rPr>
        <w:t>el art. 19</w:t>
      </w:r>
      <w:r w:rsidR="00F5583F">
        <w:rPr>
          <w:rFonts w:ascii="Times New Roman" w:hAnsi="Times New Roman" w:cs="Times New Roman"/>
          <w:sz w:val="24"/>
          <w:szCs w:val="24"/>
        </w:rPr>
        <w:t>.</w:t>
      </w:r>
      <w:r w:rsidR="00F5583F" w:rsidRPr="00F5583F">
        <w:rPr>
          <w:rFonts w:ascii="Times New Roman" w:hAnsi="Times New Roman" w:cs="Times New Roman"/>
          <w:sz w:val="24"/>
          <w:szCs w:val="24"/>
        </w:rPr>
        <w:t>1 párrafo segundo</w:t>
      </w:r>
      <w:r w:rsidR="00505412">
        <w:rPr>
          <w:rFonts w:ascii="Times New Roman" w:hAnsi="Times New Roman" w:cs="Times New Roman"/>
          <w:sz w:val="24"/>
          <w:szCs w:val="24"/>
        </w:rPr>
        <w:t xml:space="preserve"> TUE </w:t>
      </w:r>
      <w:r w:rsidR="00A77635" w:rsidRPr="00A77635">
        <w:rPr>
          <w:rFonts w:ascii="Times New Roman" w:hAnsi="Times New Roman" w:cs="Times New Roman"/>
          <w:sz w:val="24"/>
          <w:szCs w:val="24"/>
        </w:rPr>
        <w:t>(</w:t>
      </w:r>
      <w:r w:rsidR="00A77635" w:rsidRPr="00A77635">
        <w:rPr>
          <w:rFonts w:ascii="Times New Roman" w:hAnsi="Times New Roman" w:cs="Times New Roman"/>
          <w:i/>
          <w:iCs/>
          <w:sz w:val="24"/>
          <w:szCs w:val="24"/>
        </w:rPr>
        <w:t>“Los Estados miembros establecerán las vías de recurso necesarias para garantizar la tutela judicial efectiva en los ámbitos cubiertos por el Derecho de la Unión”</w:t>
      </w:r>
      <w:r w:rsidR="00E21072">
        <w:rPr>
          <w:rFonts w:ascii="Times New Roman" w:hAnsi="Times New Roman" w:cs="Times New Roman"/>
          <w:sz w:val="24"/>
          <w:szCs w:val="24"/>
        </w:rPr>
        <w:t>).</w:t>
      </w:r>
    </w:p>
    <w:p w14:paraId="7D4B6340" w14:textId="369D4464" w:rsidR="00620DB4" w:rsidRDefault="00857406" w:rsidP="0008282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recorrido </w:t>
      </w:r>
      <w:r w:rsidR="00BE78EA">
        <w:rPr>
          <w:rFonts w:ascii="Times New Roman" w:hAnsi="Times New Roman" w:cs="Times New Roman"/>
          <w:sz w:val="24"/>
          <w:szCs w:val="24"/>
        </w:rPr>
        <w:t>jurisprudencial comienza con el</w:t>
      </w:r>
      <w:r w:rsidR="001033F0">
        <w:rPr>
          <w:rFonts w:ascii="Times New Roman" w:hAnsi="Times New Roman" w:cs="Times New Roman"/>
          <w:sz w:val="24"/>
          <w:szCs w:val="24"/>
        </w:rPr>
        <w:t xml:space="preserve"> celebérrimo</w:t>
      </w:r>
      <w:r w:rsidR="00BE78EA">
        <w:rPr>
          <w:rFonts w:ascii="Times New Roman" w:hAnsi="Times New Roman" w:cs="Times New Roman"/>
          <w:sz w:val="24"/>
          <w:szCs w:val="24"/>
        </w:rPr>
        <w:t xml:space="preserve"> asunto </w:t>
      </w:r>
      <w:r w:rsidR="005730C2" w:rsidRPr="005730C2">
        <w:rPr>
          <w:rFonts w:ascii="Times New Roman" w:hAnsi="Times New Roman" w:cs="Times New Roman"/>
          <w:sz w:val="24"/>
          <w:szCs w:val="24"/>
        </w:rPr>
        <w:t xml:space="preserve">Associação Sindical dos Juízes </w:t>
      </w:r>
      <w:proofErr w:type="gramStart"/>
      <w:r w:rsidR="005730C2" w:rsidRPr="005730C2">
        <w:rPr>
          <w:rFonts w:ascii="Times New Roman" w:hAnsi="Times New Roman" w:cs="Times New Roman"/>
          <w:sz w:val="24"/>
          <w:szCs w:val="24"/>
        </w:rPr>
        <w:t>Portugueses</w:t>
      </w:r>
      <w:proofErr w:type="gramEnd"/>
      <w:r w:rsidR="005730C2" w:rsidRPr="005730C2">
        <w:rPr>
          <w:rFonts w:ascii="Times New Roman" w:hAnsi="Times New Roman" w:cs="Times New Roman"/>
          <w:sz w:val="24"/>
          <w:szCs w:val="24"/>
        </w:rPr>
        <w:t xml:space="preserve"> contra Tribunal de Contas (ASJP)</w:t>
      </w:r>
      <w:r w:rsidR="005730C2">
        <w:rPr>
          <w:rFonts w:ascii="Times New Roman" w:hAnsi="Times New Roman" w:cs="Times New Roman"/>
          <w:sz w:val="24"/>
          <w:szCs w:val="24"/>
        </w:rPr>
        <w:t xml:space="preserve"> en febrero de 2018</w:t>
      </w:r>
      <w:r w:rsidR="000719C9">
        <w:rPr>
          <w:rFonts w:ascii="Times New Roman" w:hAnsi="Times New Roman" w:cs="Times New Roman"/>
          <w:sz w:val="24"/>
          <w:szCs w:val="24"/>
        </w:rPr>
        <w:t xml:space="preserve"> y </w:t>
      </w:r>
      <w:r w:rsidR="00EE15CA">
        <w:rPr>
          <w:rFonts w:ascii="Times New Roman" w:hAnsi="Times New Roman" w:cs="Times New Roman"/>
          <w:sz w:val="24"/>
          <w:szCs w:val="24"/>
        </w:rPr>
        <w:t xml:space="preserve">ha continuado con otros casos que han llegado desde distintos puntos de Europa, aunque con </w:t>
      </w:r>
      <w:r w:rsidR="00A75983">
        <w:rPr>
          <w:rFonts w:ascii="Times New Roman" w:hAnsi="Times New Roman" w:cs="Times New Roman"/>
          <w:sz w:val="24"/>
          <w:szCs w:val="24"/>
        </w:rPr>
        <w:t>un gran papel protagonista de Polonia.</w:t>
      </w:r>
      <w:r w:rsidR="00C522C4">
        <w:rPr>
          <w:rFonts w:ascii="Times New Roman" w:hAnsi="Times New Roman" w:cs="Times New Roman"/>
          <w:sz w:val="24"/>
          <w:szCs w:val="24"/>
        </w:rPr>
        <w:t xml:space="preserve"> Gracias a ella, el Tribunal </w:t>
      </w:r>
      <w:r w:rsidR="00C522C4" w:rsidRPr="00C522C4">
        <w:rPr>
          <w:rFonts w:ascii="Times New Roman" w:hAnsi="Times New Roman" w:cs="Times New Roman"/>
          <w:sz w:val="24"/>
          <w:szCs w:val="24"/>
        </w:rPr>
        <w:t xml:space="preserve">ha ido </w:t>
      </w:r>
      <w:r w:rsidR="00C522C4">
        <w:rPr>
          <w:rFonts w:ascii="Times New Roman" w:hAnsi="Times New Roman" w:cs="Times New Roman"/>
          <w:sz w:val="24"/>
          <w:szCs w:val="24"/>
        </w:rPr>
        <w:t>concretizando</w:t>
      </w:r>
      <w:r w:rsidR="00C522C4" w:rsidRPr="00C522C4">
        <w:rPr>
          <w:rFonts w:ascii="Times New Roman" w:hAnsi="Times New Roman" w:cs="Times New Roman"/>
          <w:sz w:val="24"/>
          <w:szCs w:val="24"/>
        </w:rPr>
        <w:t xml:space="preserve"> el concepto europeo de Estado de Derecho a través de la defensa de la independencia judicial y asentando la idea de un poder judicial europeo. </w:t>
      </w:r>
      <w:r w:rsidR="00982566">
        <w:rPr>
          <w:rFonts w:ascii="Times New Roman" w:hAnsi="Times New Roman" w:cs="Times New Roman"/>
          <w:sz w:val="24"/>
          <w:szCs w:val="24"/>
        </w:rPr>
        <w:t>Básicamente, de la argumentación del TJUE</w:t>
      </w:r>
      <w:r w:rsidR="0041143F">
        <w:rPr>
          <w:rFonts w:ascii="Times New Roman" w:hAnsi="Times New Roman" w:cs="Times New Roman"/>
          <w:sz w:val="24"/>
          <w:szCs w:val="24"/>
        </w:rPr>
        <w:t xml:space="preserve"> podemos </w:t>
      </w:r>
      <w:r w:rsidR="005E3C48">
        <w:rPr>
          <w:rFonts w:ascii="Times New Roman" w:hAnsi="Times New Roman" w:cs="Times New Roman"/>
          <w:sz w:val="24"/>
          <w:szCs w:val="24"/>
        </w:rPr>
        <w:t xml:space="preserve">destacar </w:t>
      </w:r>
      <w:r w:rsidR="005F188B">
        <w:rPr>
          <w:rFonts w:ascii="Times New Roman" w:hAnsi="Times New Roman" w:cs="Times New Roman"/>
          <w:sz w:val="24"/>
          <w:szCs w:val="24"/>
        </w:rPr>
        <w:t xml:space="preserve">que </w:t>
      </w:r>
      <w:r w:rsidR="00C9396B">
        <w:rPr>
          <w:rFonts w:ascii="Times New Roman" w:hAnsi="Times New Roman" w:cs="Times New Roman"/>
          <w:sz w:val="24"/>
          <w:szCs w:val="24"/>
        </w:rPr>
        <w:t xml:space="preserve">se centra en </w:t>
      </w:r>
      <w:r w:rsidR="00D43D5A">
        <w:rPr>
          <w:rFonts w:ascii="Times New Roman" w:hAnsi="Times New Roman" w:cs="Times New Roman"/>
          <w:sz w:val="24"/>
          <w:szCs w:val="24"/>
        </w:rPr>
        <w:t>recordar que los tribunales nacionales son potenciales aplicadores del Derecho de la UE y establece</w:t>
      </w:r>
      <w:r w:rsidR="00B77B4E">
        <w:rPr>
          <w:rFonts w:ascii="Times New Roman" w:hAnsi="Times New Roman" w:cs="Times New Roman"/>
          <w:sz w:val="24"/>
          <w:szCs w:val="24"/>
        </w:rPr>
        <w:t>, dando un paso más, que incluso cuando no esté en curso un procedimiento por el que apliquen Derecho de la UE</w:t>
      </w:r>
      <w:r w:rsidR="000458AC">
        <w:rPr>
          <w:rFonts w:ascii="Times New Roman" w:hAnsi="Times New Roman" w:cs="Times New Roman"/>
          <w:sz w:val="24"/>
          <w:szCs w:val="24"/>
        </w:rPr>
        <w:t>, al ser miembros de</w:t>
      </w:r>
      <w:r w:rsidR="007D781D">
        <w:rPr>
          <w:rFonts w:ascii="Times New Roman" w:hAnsi="Times New Roman" w:cs="Times New Roman"/>
          <w:sz w:val="24"/>
          <w:szCs w:val="24"/>
        </w:rPr>
        <w:t xml:space="preserve">l sistema judicial europeo, deben cubrir las garantías básicas establecidas por el </w:t>
      </w:r>
      <w:r w:rsidR="00A8676C">
        <w:rPr>
          <w:rFonts w:ascii="Times New Roman" w:hAnsi="Times New Roman" w:cs="Times New Roman"/>
          <w:sz w:val="24"/>
          <w:szCs w:val="24"/>
        </w:rPr>
        <w:t>ordenamiento jurídico</w:t>
      </w:r>
      <w:r w:rsidR="00906D7B">
        <w:rPr>
          <w:rFonts w:ascii="Times New Roman" w:hAnsi="Times New Roman" w:cs="Times New Roman"/>
          <w:sz w:val="24"/>
          <w:szCs w:val="24"/>
        </w:rPr>
        <w:t xml:space="preserve"> de</w:t>
      </w:r>
      <w:r w:rsidR="00A8676C">
        <w:rPr>
          <w:rFonts w:ascii="Times New Roman" w:hAnsi="Times New Roman" w:cs="Times New Roman"/>
          <w:sz w:val="24"/>
          <w:szCs w:val="24"/>
        </w:rPr>
        <w:t xml:space="preserve"> la UE </w:t>
      </w:r>
      <w:r w:rsidR="007D781D">
        <w:rPr>
          <w:rFonts w:ascii="Times New Roman" w:hAnsi="Times New Roman" w:cs="Times New Roman"/>
          <w:sz w:val="24"/>
          <w:szCs w:val="24"/>
        </w:rPr>
        <w:t xml:space="preserve">para la independencia judicial </w:t>
      </w:r>
      <w:r w:rsidR="00A8676C">
        <w:rPr>
          <w:rFonts w:ascii="Times New Roman" w:hAnsi="Times New Roman" w:cs="Times New Roman"/>
          <w:sz w:val="24"/>
          <w:szCs w:val="24"/>
        </w:rPr>
        <w:t>y poder</w:t>
      </w:r>
      <w:r w:rsidR="009F0BAC">
        <w:rPr>
          <w:rFonts w:ascii="Times New Roman" w:hAnsi="Times New Roman" w:cs="Times New Roman"/>
          <w:sz w:val="24"/>
          <w:szCs w:val="24"/>
        </w:rPr>
        <w:t xml:space="preserve"> cumplir </w:t>
      </w:r>
      <w:r w:rsidR="00906D7B">
        <w:rPr>
          <w:rFonts w:ascii="Times New Roman" w:hAnsi="Times New Roman" w:cs="Times New Roman"/>
          <w:sz w:val="24"/>
          <w:szCs w:val="24"/>
        </w:rPr>
        <w:t xml:space="preserve">así </w:t>
      </w:r>
      <w:r w:rsidR="009F0BAC">
        <w:rPr>
          <w:rFonts w:ascii="Times New Roman" w:hAnsi="Times New Roman" w:cs="Times New Roman"/>
          <w:sz w:val="24"/>
          <w:szCs w:val="24"/>
        </w:rPr>
        <w:t>con la protección de</w:t>
      </w:r>
      <w:r w:rsidR="00A8676C">
        <w:rPr>
          <w:rFonts w:ascii="Times New Roman" w:hAnsi="Times New Roman" w:cs="Times New Roman"/>
          <w:sz w:val="24"/>
          <w:szCs w:val="24"/>
        </w:rPr>
        <w:t xml:space="preserve"> la tutela jurisdiccional efectiva de los ciudadanos europeos</w:t>
      </w:r>
      <w:r w:rsidR="00906D7B">
        <w:rPr>
          <w:rFonts w:ascii="Times New Roman" w:hAnsi="Times New Roman" w:cs="Times New Roman"/>
          <w:sz w:val="24"/>
          <w:szCs w:val="24"/>
        </w:rPr>
        <w:t xml:space="preserve"> recogida en el mencionado art. 19 TUE.</w:t>
      </w:r>
    </w:p>
    <w:p w14:paraId="479B949D" w14:textId="6B2D4911" w:rsidR="00E21072" w:rsidRDefault="00906D7B" w:rsidP="00082829">
      <w:pPr>
        <w:spacing w:line="360" w:lineRule="auto"/>
        <w:jc w:val="both"/>
        <w:rPr>
          <w:rFonts w:ascii="Times New Roman" w:hAnsi="Times New Roman" w:cs="Times New Roman"/>
          <w:sz w:val="24"/>
          <w:szCs w:val="24"/>
        </w:rPr>
      </w:pPr>
      <w:r>
        <w:rPr>
          <w:rFonts w:ascii="Times New Roman" w:hAnsi="Times New Roman" w:cs="Times New Roman"/>
          <w:sz w:val="24"/>
          <w:szCs w:val="24"/>
        </w:rPr>
        <w:t>La</w:t>
      </w:r>
      <w:r w:rsidR="00A75983">
        <w:rPr>
          <w:rFonts w:ascii="Times New Roman" w:hAnsi="Times New Roman" w:cs="Times New Roman"/>
          <w:sz w:val="24"/>
          <w:szCs w:val="24"/>
        </w:rPr>
        <w:t xml:space="preserve"> interpretación que del art. 19 TUE efectúa </w:t>
      </w:r>
      <w:r w:rsidR="00101C61">
        <w:rPr>
          <w:rFonts w:ascii="Times New Roman" w:hAnsi="Times New Roman" w:cs="Times New Roman"/>
          <w:sz w:val="24"/>
          <w:szCs w:val="24"/>
        </w:rPr>
        <w:t xml:space="preserve">el Tribunal de Justicia para la defensa del Estado de Derecho, merece ser destacada por su </w:t>
      </w:r>
      <w:r w:rsidR="00A75A2C">
        <w:rPr>
          <w:rFonts w:ascii="Times New Roman" w:hAnsi="Times New Roman" w:cs="Times New Roman"/>
          <w:sz w:val="24"/>
          <w:szCs w:val="24"/>
        </w:rPr>
        <w:t xml:space="preserve">vital </w:t>
      </w:r>
      <w:r w:rsidR="000D5984">
        <w:rPr>
          <w:rFonts w:ascii="Times New Roman" w:hAnsi="Times New Roman" w:cs="Times New Roman"/>
          <w:sz w:val="24"/>
          <w:szCs w:val="24"/>
        </w:rPr>
        <w:t xml:space="preserve">significación en un momento donde los valores europeos se encontraban en </w:t>
      </w:r>
      <w:r w:rsidR="00D901E8">
        <w:rPr>
          <w:rFonts w:ascii="Times New Roman" w:hAnsi="Times New Roman" w:cs="Times New Roman"/>
          <w:sz w:val="24"/>
          <w:szCs w:val="24"/>
        </w:rPr>
        <w:t>riesgo,</w:t>
      </w:r>
      <w:r w:rsidR="000D5984">
        <w:rPr>
          <w:rFonts w:ascii="Times New Roman" w:hAnsi="Times New Roman" w:cs="Times New Roman"/>
          <w:sz w:val="24"/>
          <w:szCs w:val="24"/>
        </w:rPr>
        <w:t xml:space="preserve"> pero, sin duda, también por</w:t>
      </w:r>
      <w:r w:rsidR="00A75A2C">
        <w:rPr>
          <w:rFonts w:ascii="Times New Roman" w:hAnsi="Times New Roman" w:cs="Times New Roman"/>
          <w:sz w:val="24"/>
          <w:szCs w:val="24"/>
        </w:rPr>
        <w:t xml:space="preserve">que es un punto de inflexión para reforzar la idea de la existencia de una red judicial europea, donde los jueces nacionales </w:t>
      </w:r>
      <w:r w:rsidR="0081461A">
        <w:rPr>
          <w:rFonts w:ascii="Times New Roman" w:hAnsi="Times New Roman" w:cs="Times New Roman"/>
          <w:sz w:val="24"/>
          <w:szCs w:val="24"/>
        </w:rPr>
        <w:t>son agentes primarios de la aplicación del Derecho europeo y de la garantía de su efectividad.</w:t>
      </w:r>
      <w:r w:rsidR="009E31A7">
        <w:rPr>
          <w:rFonts w:ascii="Times New Roman" w:hAnsi="Times New Roman" w:cs="Times New Roman"/>
          <w:sz w:val="24"/>
          <w:szCs w:val="24"/>
        </w:rPr>
        <w:t xml:space="preserve"> Sin embargo, esa interpretación no queda limitada solamente a la interesante </w:t>
      </w:r>
      <w:r w:rsidR="00BE3CD6">
        <w:rPr>
          <w:rFonts w:ascii="Times New Roman" w:hAnsi="Times New Roman" w:cs="Times New Roman"/>
          <w:sz w:val="24"/>
          <w:szCs w:val="24"/>
        </w:rPr>
        <w:t>confirmación de un poder judicial europeo, sino que supone una</w:t>
      </w:r>
      <w:r w:rsidR="00790692">
        <w:rPr>
          <w:rFonts w:ascii="Times New Roman" w:hAnsi="Times New Roman" w:cs="Times New Roman"/>
          <w:sz w:val="24"/>
          <w:szCs w:val="24"/>
        </w:rPr>
        <w:t xml:space="preserve"> </w:t>
      </w:r>
      <w:r w:rsidR="00790692">
        <w:rPr>
          <w:rFonts w:ascii="Times New Roman" w:hAnsi="Times New Roman" w:cs="Times New Roman"/>
          <w:sz w:val="24"/>
          <w:szCs w:val="24"/>
        </w:rPr>
        <w:lastRenderedPageBreak/>
        <w:t xml:space="preserve">ampliación de los poderes de intervención de la UE, quien </w:t>
      </w:r>
      <w:r w:rsidR="000903CB">
        <w:rPr>
          <w:rFonts w:ascii="Times New Roman" w:hAnsi="Times New Roman" w:cs="Times New Roman"/>
          <w:sz w:val="24"/>
          <w:szCs w:val="24"/>
        </w:rPr>
        <w:t>se arroja para sí</w:t>
      </w:r>
      <w:r w:rsidR="00C6641C">
        <w:rPr>
          <w:rFonts w:ascii="Times New Roman" w:hAnsi="Times New Roman" w:cs="Times New Roman"/>
          <w:sz w:val="24"/>
          <w:szCs w:val="24"/>
        </w:rPr>
        <w:t>, a través del TJUE,</w:t>
      </w:r>
      <w:r w:rsidR="000903CB">
        <w:rPr>
          <w:rFonts w:ascii="Times New Roman" w:hAnsi="Times New Roman" w:cs="Times New Roman"/>
          <w:sz w:val="24"/>
          <w:szCs w:val="24"/>
        </w:rPr>
        <w:t xml:space="preserve"> la posibilidad de enjuiciar o controlar la normativa estatal en materia de Administración de Justicia</w:t>
      </w:r>
      <w:r w:rsidR="00C6641C">
        <w:rPr>
          <w:rFonts w:ascii="Times New Roman" w:hAnsi="Times New Roman" w:cs="Times New Roman"/>
          <w:sz w:val="24"/>
          <w:szCs w:val="24"/>
        </w:rPr>
        <w:t>.</w:t>
      </w:r>
    </w:p>
    <w:p w14:paraId="2B994285" w14:textId="744418DF" w:rsidR="006516AF" w:rsidRDefault="006516AF" w:rsidP="0008282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 consecuencia, la UE mediante la acción del Tribunal de Justicia, no solo ha </w:t>
      </w:r>
      <w:r w:rsidR="005172B2">
        <w:rPr>
          <w:rFonts w:ascii="Times New Roman" w:hAnsi="Times New Roman" w:cs="Times New Roman"/>
          <w:sz w:val="24"/>
          <w:szCs w:val="24"/>
        </w:rPr>
        <w:t xml:space="preserve">cumplido la misión de detener o paliar los efectos derivados de la dinámica iliberal que amenaza a sus principios, sino que </w:t>
      </w:r>
      <w:r w:rsidR="00BF6EE3">
        <w:rPr>
          <w:rFonts w:ascii="Times New Roman" w:hAnsi="Times New Roman" w:cs="Times New Roman"/>
          <w:sz w:val="24"/>
          <w:szCs w:val="24"/>
        </w:rPr>
        <w:t>ha aprovechado el momento para establecer una vía</w:t>
      </w:r>
      <w:r w:rsidR="0087031D">
        <w:rPr>
          <w:rFonts w:ascii="Times New Roman" w:hAnsi="Times New Roman" w:cs="Times New Roman"/>
          <w:sz w:val="24"/>
          <w:szCs w:val="24"/>
        </w:rPr>
        <w:t xml:space="preserve"> de intervención</w:t>
      </w:r>
      <w:r w:rsidR="00BF6EE3">
        <w:rPr>
          <w:rFonts w:ascii="Times New Roman" w:hAnsi="Times New Roman" w:cs="Times New Roman"/>
          <w:sz w:val="24"/>
          <w:szCs w:val="24"/>
        </w:rPr>
        <w:t xml:space="preserve"> a través del desarrollo del concepto de Unión de Derecho</w:t>
      </w:r>
      <w:r w:rsidR="0087031D">
        <w:rPr>
          <w:rFonts w:ascii="Times New Roman" w:hAnsi="Times New Roman" w:cs="Times New Roman"/>
          <w:sz w:val="24"/>
          <w:szCs w:val="24"/>
        </w:rPr>
        <w:t>, reconfigurando su carácter constitucional</w:t>
      </w:r>
      <w:r w:rsidR="009F50A2">
        <w:rPr>
          <w:rFonts w:ascii="Times New Roman" w:hAnsi="Times New Roman" w:cs="Times New Roman"/>
          <w:sz w:val="24"/>
          <w:szCs w:val="24"/>
        </w:rPr>
        <w:t xml:space="preserve"> y abriendo un abanico de posibilidades aún por descubrir en materia judicial </w:t>
      </w:r>
      <w:r w:rsidR="00323251">
        <w:rPr>
          <w:rFonts w:ascii="Times New Roman" w:hAnsi="Times New Roman" w:cs="Times New Roman"/>
          <w:sz w:val="24"/>
          <w:szCs w:val="24"/>
        </w:rPr>
        <w:t>en el ámbito de la UE.</w:t>
      </w:r>
    </w:p>
    <w:p w14:paraId="4D28D8E9" w14:textId="7A52C551" w:rsidR="00982566" w:rsidRPr="00E21072" w:rsidRDefault="009D4B18" w:rsidP="00082829">
      <w:pPr>
        <w:spacing w:line="360" w:lineRule="auto"/>
        <w:jc w:val="both"/>
        <w:rPr>
          <w:rFonts w:ascii="Times New Roman" w:hAnsi="Times New Roman" w:cs="Times New Roman"/>
          <w:sz w:val="24"/>
          <w:szCs w:val="24"/>
        </w:rPr>
      </w:pPr>
      <w:r>
        <w:rPr>
          <w:rFonts w:ascii="Times New Roman" w:hAnsi="Times New Roman" w:cs="Times New Roman"/>
          <w:sz w:val="24"/>
          <w:szCs w:val="24"/>
        </w:rPr>
        <w:t>En conclusión, l</w:t>
      </w:r>
      <w:r w:rsidR="00982566">
        <w:rPr>
          <w:rFonts w:ascii="Times New Roman" w:hAnsi="Times New Roman" w:cs="Times New Roman"/>
          <w:sz w:val="24"/>
          <w:szCs w:val="24"/>
        </w:rPr>
        <w:t>as implicaciones de est</w:t>
      </w:r>
      <w:r w:rsidR="000B440B">
        <w:rPr>
          <w:rFonts w:ascii="Times New Roman" w:hAnsi="Times New Roman" w:cs="Times New Roman"/>
          <w:sz w:val="24"/>
          <w:szCs w:val="24"/>
        </w:rPr>
        <w:t>a interpretación pueden ser muy amplias y variadas. Parece</w:t>
      </w:r>
      <w:r w:rsidR="001D0095">
        <w:rPr>
          <w:rFonts w:ascii="Times New Roman" w:hAnsi="Times New Roman" w:cs="Times New Roman"/>
          <w:sz w:val="24"/>
          <w:szCs w:val="24"/>
        </w:rPr>
        <w:t xml:space="preserve"> lógica</w:t>
      </w:r>
      <w:r w:rsidR="000B440B">
        <w:rPr>
          <w:rFonts w:ascii="Times New Roman" w:hAnsi="Times New Roman" w:cs="Times New Roman"/>
          <w:sz w:val="24"/>
          <w:szCs w:val="24"/>
        </w:rPr>
        <w:t xml:space="preserve">, hasta cierto punto, </w:t>
      </w:r>
      <w:r w:rsidR="001D0095">
        <w:rPr>
          <w:rFonts w:ascii="Times New Roman" w:hAnsi="Times New Roman" w:cs="Times New Roman"/>
          <w:sz w:val="24"/>
          <w:szCs w:val="24"/>
        </w:rPr>
        <w:t>la reacción de rechazo que muestra</w:t>
      </w:r>
      <w:r w:rsidR="00A536EF">
        <w:rPr>
          <w:rFonts w:ascii="Times New Roman" w:hAnsi="Times New Roman" w:cs="Times New Roman"/>
          <w:sz w:val="24"/>
          <w:szCs w:val="24"/>
        </w:rPr>
        <w:t>n</w:t>
      </w:r>
      <w:r w:rsidR="001D0095">
        <w:rPr>
          <w:rFonts w:ascii="Times New Roman" w:hAnsi="Times New Roman" w:cs="Times New Roman"/>
          <w:sz w:val="24"/>
          <w:szCs w:val="24"/>
        </w:rPr>
        <w:t xml:space="preserve"> las fuerzas populistas de carácter nacionalista</w:t>
      </w:r>
      <w:r w:rsidR="008B481A">
        <w:rPr>
          <w:rFonts w:ascii="Times New Roman" w:hAnsi="Times New Roman" w:cs="Times New Roman"/>
          <w:sz w:val="24"/>
          <w:szCs w:val="24"/>
        </w:rPr>
        <w:t xml:space="preserve">. Sin embargo, más allá de esa conflictividad, resulta posible afirmar que la UE, a través de una situación de una crisis puntual, </w:t>
      </w:r>
      <w:r w:rsidR="0053421E">
        <w:rPr>
          <w:rFonts w:ascii="Times New Roman" w:hAnsi="Times New Roman" w:cs="Times New Roman"/>
          <w:sz w:val="24"/>
          <w:szCs w:val="24"/>
        </w:rPr>
        <w:t xml:space="preserve">se ha inmiscuido en una cuestión que puede </w:t>
      </w:r>
      <w:r w:rsidR="00776F61">
        <w:rPr>
          <w:rFonts w:ascii="Times New Roman" w:hAnsi="Times New Roman" w:cs="Times New Roman"/>
          <w:sz w:val="24"/>
          <w:szCs w:val="24"/>
        </w:rPr>
        <w:t>ser considerada de vasto alcance. De esta forma, la U</w:t>
      </w:r>
      <w:r w:rsidR="00F031D2">
        <w:rPr>
          <w:rFonts w:ascii="Times New Roman" w:hAnsi="Times New Roman" w:cs="Times New Roman"/>
          <w:sz w:val="24"/>
          <w:szCs w:val="24"/>
        </w:rPr>
        <w:t xml:space="preserve">nión puede establecer parámetros de control de la calidad de los sistemas de justicia nacionales, </w:t>
      </w:r>
      <w:r w:rsidR="00FE36ED">
        <w:rPr>
          <w:rFonts w:ascii="Times New Roman" w:hAnsi="Times New Roman" w:cs="Times New Roman"/>
          <w:sz w:val="24"/>
          <w:szCs w:val="24"/>
        </w:rPr>
        <w:t>estableciendo</w:t>
      </w:r>
      <w:r w:rsidR="00DB3874">
        <w:rPr>
          <w:rFonts w:ascii="Times New Roman" w:hAnsi="Times New Roman" w:cs="Times New Roman"/>
          <w:sz w:val="24"/>
          <w:szCs w:val="24"/>
        </w:rPr>
        <w:t xml:space="preserve"> criterios de uniformidad de estos en los </w:t>
      </w:r>
      <w:r w:rsidR="00FE36ED">
        <w:rPr>
          <w:rFonts w:ascii="Times New Roman" w:hAnsi="Times New Roman" w:cs="Times New Roman"/>
          <w:sz w:val="24"/>
          <w:szCs w:val="24"/>
        </w:rPr>
        <w:t>distintos</w:t>
      </w:r>
      <w:r w:rsidR="00DB3874">
        <w:rPr>
          <w:rFonts w:ascii="Times New Roman" w:hAnsi="Times New Roman" w:cs="Times New Roman"/>
          <w:sz w:val="24"/>
          <w:szCs w:val="24"/>
        </w:rPr>
        <w:t xml:space="preserve"> Estados miembros</w:t>
      </w:r>
      <w:r w:rsidR="0060599B">
        <w:rPr>
          <w:rFonts w:ascii="Times New Roman" w:hAnsi="Times New Roman" w:cs="Times New Roman"/>
          <w:sz w:val="24"/>
          <w:szCs w:val="24"/>
        </w:rPr>
        <w:t xml:space="preserve">, siendo esta una materia </w:t>
      </w:r>
      <w:r w:rsidR="00FE4612">
        <w:rPr>
          <w:rFonts w:ascii="Times New Roman" w:hAnsi="Times New Roman" w:cs="Times New Roman"/>
          <w:sz w:val="24"/>
          <w:szCs w:val="24"/>
        </w:rPr>
        <w:t xml:space="preserve">de clara identificación con la </w:t>
      </w:r>
      <w:r w:rsidR="00FE36ED">
        <w:rPr>
          <w:rFonts w:ascii="Times New Roman" w:hAnsi="Times New Roman" w:cs="Times New Roman"/>
          <w:sz w:val="24"/>
          <w:szCs w:val="24"/>
        </w:rPr>
        <w:t>soberanía</w:t>
      </w:r>
      <w:r w:rsidR="00FE4612">
        <w:rPr>
          <w:rFonts w:ascii="Times New Roman" w:hAnsi="Times New Roman" w:cs="Times New Roman"/>
          <w:sz w:val="24"/>
          <w:szCs w:val="24"/>
        </w:rPr>
        <w:t xml:space="preserve"> nacional, la cual puede ser utilizada</w:t>
      </w:r>
      <w:r w:rsidR="00555B71">
        <w:rPr>
          <w:rFonts w:ascii="Times New Roman" w:hAnsi="Times New Roman" w:cs="Times New Roman"/>
          <w:sz w:val="24"/>
          <w:szCs w:val="24"/>
        </w:rPr>
        <w:t xml:space="preserve"> ahora</w:t>
      </w:r>
      <w:r w:rsidR="00FE4612">
        <w:rPr>
          <w:rFonts w:ascii="Times New Roman" w:hAnsi="Times New Roman" w:cs="Times New Roman"/>
          <w:sz w:val="24"/>
          <w:szCs w:val="24"/>
        </w:rPr>
        <w:t xml:space="preserve"> como </w:t>
      </w:r>
      <w:r w:rsidR="00555B71">
        <w:rPr>
          <w:rFonts w:ascii="Times New Roman" w:hAnsi="Times New Roman" w:cs="Times New Roman"/>
          <w:sz w:val="24"/>
          <w:szCs w:val="24"/>
        </w:rPr>
        <w:t>herramienta</w:t>
      </w:r>
      <w:r w:rsidR="00FE36ED">
        <w:rPr>
          <w:rFonts w:ascii="Times New Roman" w:hAnsi="Times New Roman" w:cs="Times New Roman"/>
          <w:sz w:val="24"/>
          <w:szCs w:val="24"/>
        </w:rPr>
        <w:t xml:space="preserve"> esencial </w:t>
      </w:r>
      <w:r w:rsidR="006A282D">
        <w:rPr>
          <w:rFonts w:ascii="Times New Roman" w:hAnsi="Times New Roman" w:cs="Times New Roman"/>
          <w:sz w:val="24"/>
          <w:szCs w:val="24"/>
        </w:rPr>
        <w:t>mediante</w:t>
      </w:r>
      <w:r w:rsidR="00FE36ED">
        <w:rPr>
          <w:rFonts w:ascii="Times New Roman" w:hAnsi="Times New Roman" w:cs="Times New Roman"/>
          <w:sz w:val="24"/>
          <w:szCs w:val="24"/>
        </w:rPr>
        <w:t xml:space="preserve"> la UE </w:t>
      </w:r>
      <w:r w:rsidR="00555B71">
        <w:rPr>
          <w:rFonts w:ascii="Times New Roman" w:hAnsi="Times New Roman" w:cs="Times New Roman"/>
          <w:sz w:val="24"/>
          <w:szCs w:val="24"/>
        </w:rPr>
        <w:t xml:space="preserve">puede </w:t>
      </w:r>
      <w:r w:rsidR="006A282D">
        <w:rPr>
          <w:rFonts w:ascii="Times New Roman" w:hAnsi="Times New Roman" w:cs="Times New Roman"/>
          <w:sz w:val="24"/>
          <w:szCs w:val="24"/>
        </w:rPr>
        <w:t xml:space="preserve">intervenir para asegurar un cierto nivel de uniformidad en los poderes judiciales nacionales, avanzando así </w:t>
      </w:r>
      <w:r w:rsidR="00FE36ED">
        <w:rPr>
          <w:rFonts w:ascii="Times New Roman" w:hAnsi="Times New Roman" w:cs="Times New Roman"/>
          <w:sz w:val="24"/>
          <w:szCs w:val="24"/>
        </w:rPr>
        <w:t>en su continuo proceso de integración a través del Derecho</w:t>
      </w:r>
      <w:r w:rsidR="000C6B8A">
        <w:rPr>
          <w:rFonts w:ascii="Times New Roman" w:hAnsi="Times New Roman" w:cs="Times New Roman"/>
          <w:sz w:val="24"/>
          <w:szCs w:val="24"/>
        </w:rPr>
        <w:t>.</w:t>
      </w:r>
    </w:p>
    <w:p w14:paraId="0CC4113A" w14:textId="77777777" w:rsidR="00930C6B" w:rsidRDefault="00930C6B" w:rsidP="00F35F29">
      <w:pPr>
        <w:spacing w:line="360" w:lineRule="auto"/>
        <w:jc w:val="both"/>
        <w:rPr>
          <w:rFonts w:ascii="Times New Roman" w:hAnsi="Times New Roman" w:cs="Times New Roman"/>
          <w:sz w:val="24"/>
          <w:szCs w:val="24"/>
        </w:rPr>
      </w:pPr>
    </w:p>
    <w:p w14:paraId="5E4628F3" w14:textId="77777777" w:rsidR="00530A4B" w:rsidRDefault="00530A4B"/>
    <w:sectPr w:rsidR="00530A4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1E2DF" w14:textId="77777777" w:rsidR="00675289" w:rsidRDefault="00675289" w:rsidP="00530A4B">
      <w:pPr>
        <w:spacing w:after="0" w:line="240" w:lineRule="auto"/>
      </w:pPr>
      <w:r>
        <w:separator/>
      </w:r>
    </w:p>
  </w:endnote>
  <w:endnote w:type="continuationSeparator" w:id="0">
    <w:p w14:paraId="0CC1D9D1" w14:textId="77777777" w:rsidR="00675289" w:rsidRDefault="00675289" w:rsidP="00530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FEDB4" w14:textId="77777777" w:rsidR="00675289" w:rsidRDefault="00675289" w:rsidP="00530A4B">
      <w:pPr>
        <w:spacing w:after="0" w:line="240" w:lineRule="auto"/>
      </w:pPr>
      <w:r>
        <w:separator/>
      </w:r>
    </w:p>
  </w:footnote>
  <w:footnote w:type="continuationSeparator" w:id="0">
    <w:p w14:paraId="314680FC" w14:textId="77777777" w:rsidR="00675289" w:rsidRDefault="00675289" w:rsidP="00530A4B">
      <w:pPr>
        <w:spacing w:after="0" w:line="240" w:lineRule="auto"/>
      </w:pPr>
      <w:r>
        <w:continuationSeparator/>
      </w:r>
    </w:p>
  </w:footnote>
  <w:footnote w:id="1">
    <w:p w14:paraId="1F60DC5E" w14:textId="77777777" w:rsidR="00530A4B" w:rsidRDefault="00530A4B" w:rsidP="00530A4B">
      <w:pPr>
        <w:pStyle w:val="Textonotapie"/>
        <w:jc w:val="both"/>
      </w:pPr>
      <w:r>
        <w:rPr>
          <w:rStyle w:val="Refdenotaalpie"/>
        </w:rPr>
        <w:footnoteRef/>
      </w:r>
      <w:r>
        <w:t xml:space="preserve"> </w:t>
      </w:r>
      <w:r w:rsidRPr="000C09C5">
        <w:rPr>
          <w:rFonts w:ascii="Times New Roman" w:hAnsi="Times New Roman" w:cs="Times New Roman"/>
        </w:rPr>
        <w:t>Proyecto de investigación “La configuración europea del estado de derecho: implicaciones en el ámbito nacional” (PID2022-137789NB-I00), dirigido por Dña. Ana María Carmona Contreras y D. Fernando Álvarez-Ossorio Micheo, financiado por el Ministerio de Ciencia e Innovación.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767"/>
    <w:rsid w:val="000458AC"/>
    <w:rsid w:val="000719C9"/>
    <w:rsid w:val="00082829"/>
    <w:rsid w:val="000903CB"/>
    <w:rsid w:val="000B440B"/>
    <w:rsid w:val="000C6B8A"/>
    <w:rsid w:val="000D5984"/>
    <w:rsid w:val="00101C61"/>
    <w:rsid w:val="001033F0"/>
    <w:rsid w:val="0013201D"/>
    <w:rsid w:val="00196680"/>
    <w:rsid w:val="00196EDC"/>
    <w:rsid w:val="001B7B11"/>
    <w:rsid w:val="001D0095"/>
    <w:rsid w:val="00317073"/>
    <w:rsid w:val="00323251"/>
    <w:rsid w:val="003578BB"/>
    <w:rsid w:val="00372D93"/>
    <w:rsid w:val="00373C9D"/>
    <w:rsid w:val="0041143F"/>
    <w:rsid w:val="00466D14"/>
    <w:rsid w:val="004962A4"/>
    <w:rsid w:val="004C7DDA"/>
    <w:rsid w:val="00505412"/>
    <w:rsid w:val="005172B2"/>
    <w:rsid w:val="00530A4B"/>
    <w:rsid w:val="0053421E"/>
    <w:rsid w:val="0054598A"/>
    <w:rsid w:val="00555B71"/>
    <w:rsid w:val="005730C2"/>
    <w:rsid w:val="00577526"/>
    <w:rsid w:val="005D0C53"/>
    <w:rsid w:val="005E3C48"/>
    <w:rsid w:val="005F188B"/>
    <w:rsid w:val="00601BAC"/>
    <w:rsid w:val="0060599B"/>
    <w:rsid w:val="00620DB4"/>
    <w:rsid w:val="006516AF"/>
    <w:rsid w:val="0066171E"/>
    <w:rsid w:val="00675289"/>
    <w:rsid w:val="006A282D"/>
    <w:rsid w:val="006A7679"/>
    <w:rsid w:val="007130CC"/>
    <w:rsid w:val="00756767"/>
    <w:rsid w:val="00776F61"/>
    <w:rsid w:val="00790692"/>
    <w:rsid w:val="007D781D"/>
    <w:rsid w:val="0081461A"/>
    <w:rsid w:val="008531DE"/>
    <w:rsid w:val="00857406"/>
    <w:rsid w:val="0087031D"/>
    <w:rsid w:val="008B481A"/>
    <w:rsid w:val="008C4F30"/>
    <w:rsid w:val="00906D7B"/>
    <w:rsid w:val="00930C6B"/>
    <w:rsid w:val="00982566"/>
    <w:rsid w:val="009D4B18"/>
    <w:rsid w:val="009E31A7"/>
    <w:rsid w:val="009F0BAC"/>
    <w:rsid w:val="009F50A2"/>
    <w:rsid w:val="00A52E58"/>
    <w:rsid w:val="00A536EF"/>
    <w:rsid w:val="00A75983"/>
    <w:rsid w:val="00A75A2C"/>
    <w:rsid w:val="00A77635"/>
    <w:rsid w:val="00A8676C"/>
    <w:rsid w:val="00B25303"/>
    <w:rsid w:val="00B77B4E"/>
    <w:rsid w:val="00BE3CD6"/>
    <w:rsid w:val="00BE78EA"/>
    <w:rsid w:val="00BF6EE3"/>
    <w:rsid w:val="00C522C4"/>
    <w:rsid w:val="00C6641C"/>
    <w:rsid w:val="00C9396B"/>
    <w:rsid w:val="00D43D5A"/>
    <w:rsid w:val="00D57DBB"/>
    <w:rsid w:val="00D901E8"/>
    <w:rsid w:val="00D91154"/>
    <w:rsid w:val="00DB3874"/>
    <w:rsid w:val="00E206E9"/>
    <w:rsid w:val="00E21072"/>
    <w:rsid w:val="00E25A8D"/>
    <w:rsid w:val="00E2780A"/>
    <w:rsid w:val="00EE15CA"/>
    <w:rsid w:val="00F031D2"/>
    <w:rsid w:val="00F35F29"/>
    <w:rsid w:val="00F5583F"/>
    <w:rsid w:val="00FE36ED"/>
    <w:rsid w:val="00FE4612"/>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0102D"/>
  <w15:chartTrackingRefBased/>
  <w15:docId w15:val="{F42535E3-E449-49B6-8CD5-E6D90ACA9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A4B"/>
  </w:style>
  <w:style w:type="paragraph" w:styleId="Ttulo1">
    <w:name w:val="heading 1"/>
    <w:basedOn w:val="Normal"/>
    <w:next w:val="Normal"/>
    <w:link w:val="Ttulo1Car"/>
    <w:uiPriority w:val="9"/>
    <w:qFormat/>
    <w:rsid w:val="007567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567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5676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5676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5676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5676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5676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5676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5676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5676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5676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5676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5676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5676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5676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5676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5676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56767"/>
    <w:rPr>
      <w:rFonts w:eastAsiaTheme="majorEastAsia" w:cstheme="majorBidi"/>
      <w:color w:val="272727" w:themeColor="text1" w:themeTint="D8"/>
    </w:rPr>
  </w:style>
  <w:style w:type="paragraph" w:styleId="Ttulo">
    <w:name w:val="Title"/>
    <w:basedOn w:val="Normal"/>
    <w:next w:val="Normal"/>
    <w:link w:val="TtuloCar"/>
    <w:uiPriority w:val="10"/>
    <w:qFormat/>
    <w:rsid w:val="007567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5676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5676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5676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56767"/>
    <w:pPr>
      <w:spacing w:before="160"/>
      <w:jc w:val="center"/>
    </w:pPr>
    <w:rPr>
      <w:i/>
      <w:iCs/>
      <w:color w:val="404040" w:themeColor="text1" w:themeTint="BF"/>
    </w:rPr>
  </w:style>
  <w:style w:type="character" w:customStyle="1" w:styleId="CitaCar">
    <w:name w:val="Cita Car"/>
    <w:basedOn w:val="Fuentedeprrafopredeter"/>
    <w:link w:val="Cita"/>
    <w:uiPriority w:val="29"/>
    <w:rsid w:val="00756767"/>
    <w:rPr>
      <w:i/>
      <w:iCs/>
      <w:color w:val="404040" w:themeColor="text1" w:themeTint="BF"/>
    </w:rPr>
  </w:style>
  <w:style w:type="paragraph" w:styleId="Prrafodelista">
    <w:name w:val="List Paragraph"/>
    <w:basedOn w:val="Normal"/>
    <w:uiPriority w:val="34"/>
    <w:qFormat/>
    <w:rsid w:val="00756767"/>
    <w:pPr>
      <w:ind w:left="720"/>
      <w:contextualSpacing/>
    </w:pPr>
  </w:style>
  <w:style w:type="character" w:styleId="nfasisintenso">
    <w:name w:val="Intense Emphasis"/>
    <w:basedOn w:val="Fuentedeprrafopredeter"/>
    <w:uiPriority w:val="21"/>
    <w:qFormat/>
    <w:rsid w:val="00756767"/>
    <w:rPr>
      <w:i/>
      <w:iCs/>
      <w:color w:val="0F4761" w:themeColor="accent1" w:themeShade="BF"/>
    </w:rPr>
  </w:style>
  <w:style w:type="paragraph" w:styleId="Citadestacada">
    <w:name w:val="Intense Quote"/>
    <w:basedOn w:val="Normal"/>
    <w:next w:val="Normal"/>
    <w:link w:val="CitadestacadaCar"/>
    <w:uiPriority w:val="30"/>
    <w:qFormat/>
    <w:rsid w:val="007567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56767"/>
    <w:rPr>
      <w:i/>
      <w:iCs/>
      <w:color w:val="0F4761" w:themeColor="accent1" w:themeShade="BF"/>
    </w:rPr>
  </w:style>
  <w:style w:type="character" w:styleId="Referenciaintensa">
    <w:name w:val="Intense Reference"/>
    <w:basedOn w:val="Fuentedeprrafopredeter"/>
    <w:uiPriority w:val="32"/>
    <w:qFormat/>
    <w:rsid w:val="00756767"/>
    <w:rPr>
      <w:b/>
      <w:bCs/>
      <w:smallCaps/>
      <w:color w:val="0F4761" w:themeColor="accent1" w:themeShade="BF"/>
      <w:spacing w:val="5"/>
    </w:rPr>
  </w:style>
  <w:style w:type="character" w:styleId="Hipervnculo">
    <w:name w:val="Hyperlink"/>
    <w:basedOn w:val="Fuentedeprrafopredeter"/>
    <w:uiPriority w:val="99"/>
    <w:unhideWhenUsed/>
    <w:rsid w:val="00530A4B"/>
    <w:rPr>
      <w:color w:val="467886" w:themeColor="hyperlink"/>
      <w:u w:val="single"/>
    </w:rPr>
  </w:style>
  <w:style w:type="paragraph" w:styleId="Textonotapie">
    <w:name w:val="footnote text"/>
    <w:basedOn w:val="Normal"/>
    <w:link w:val="TextonotapieCar"/>
    <w:uiPriority w:val="99"/>
    <w:unhideWhenUsed/>
    <w:rsid w:val="00530A4B"/>
    <w:pPr>
      <w:spacing w:after="0" w:line="240" w:lineRule="auto"/>
    </w:pPr>
    <w:rPr>
      <w:sz w:val="20"/>
      <w:szCs w:val="20"/>
    </w:rPr>
  </w:style>
  <w:style w:type="character" w:customStyle="1" w:styleId="TextonotapieCar">
    <w:name w:val="Texto nota pie Car"/>
    <w:basedOn w:val="Fuentedeprrafopredeter"/>
    <w:link w:val="Textonotapie"/>
    <w:uiPriority w:val="99"/>
    <w:rsid w:val="00530A4B"/>
    <w:rPr>
      <w:sz w:val="20"/>
      <w:szCs w:val="20"/>
    </w:rPr>
  </w:style>
  <w:style w:type="character" w:styleId="Refdenotaalpie">
    <w:name w:val="footnote reference"/>
    <w:basedOn w:val="Fuentedeprrafopredeter"/>
    <w:uiPriority w:val="99"/>
    <w:semiHidden/>
    <w:unhideWhenUsed/>
    <w:rsid w:val="00530A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galvez6@us.e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5211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Gálvez Galisteo</dc:creator>
  <cp:keywords/>
  <dc:description/>
  <cp:lastModifiedBy>Usuario de Windows</cp:lastModifiedBy>
  <cp:revision>2</cp:revision>
  <dcterms:created xsi:type="dcterms:W3CDTF">2025-06-02T20:56:00Z</dcterms:created>
  <dcterms:modified xsi:type="dcterms:W3CDTF">2025-06-02T20:56:00Z</dcterms:modified>
</cp:coreProperties>
</file>