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8134" w14:textId="1A973C1A" w:rsidR="00443874" w:rsidRPr="004E2E14" w:rsidRDefault="00B80F60" w:rsidP="00B80F60">
      <w:pPr>
        <w:spacing w:after="60" w:line="240" w:lineRule="auto"/>
        <w:jc w:val="center"/>
        <w:rPr>
          <w:rFonts w:ascii="Times New Roman" w:hAnsi="Times New Roman" w:cs="Times New Roman"/>
          <w:sz w:val="24"/>
          <w:szCs w:val="24"/>
        </w:rPr>
      </w:pPr>
      <w:bookmarkStart w:id="0" w:name="_Hlk32539321"/>
      <w:r>
        <w:rPr>
          <w:noProof/>
          <w:lang w:val="es-ES" w:eastAsia="es-ES"/>
        </w:rPr>
        <w:drawing>
          <wp:inline distT="0" distB="0" distL="0" distR="0" wp14:anchorId="40BE18DD" wp14:editId="15773E21">
            <wp:extent cx="5396865" cy="728345"/>
            <wp:effectExtent l="0" t="0" r="0" b="0"/>
            <wp:docPr id="6" name="Imagem 5" descr="Uma imagem com logótipo&#10;&#10;Descrição gerada automaticamente">
              <a:extLst xmlns:a="http://schemas.openxmlformats.org/drawingml/2006/main">
                <a:ext uri="{FF2B5EF4-FFF2-40B4-BE49-F238E27FC236}">
                  <a16:creationId xmlns:a16="http://schemas.microsoft.com/office/drawing/2014/main" id="{249B8FC9-F683-DC6F-F740-0261D46789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descr="Uma imagem com logótipo&#10;&#10;Descrição gerada automaticamente">
                      <a:extLst>
                        <a:ext uri="{FF2B5EF4-FFF2-40B4-BE49-F238E27FC236}">
                          <a16:creationId xmlns:a16="http://schemas.microsoft.com/office/drawing/2014/main" id="{249B8FC9-F683-DC6F-F740-0261D46789A1}"/>
                        </a:ext>
                      </a:extLst>
                    </pic:cNvPr>
                    <pic:cNvPicPr>
                      <a:picLocks noChangeAspect="1"/>
                    </pic:cNvPicPr>
                  </pic:nvPicPr>
                  <pic:blipFill>
                    <a:blip r:embed="rId8"/>
                    <a:stretch>
                      <a:fillRect/>
                    </a:stretch>
                  </pic:blipFill>
                  <pic:spPr>
                    <a:xfrm>
                      <a:off x="0" y="0"/>
                      <a:ext cx="5396865" cy="728345"/>
                    </a:xfrm>
                    <a:prstGeom prst="rect">
                      <a:avLst/>
                    </a:prstGeom>
                  </pic:spPr>
                </pic:pic>
              </a:graphicData>
            </a:graphic>
          </wp:inline>
        </w:drawing>
      </w:r>
    </w:p>
    <w:p w14:paraId="2CB2F4A0" w14:textId="77777777" w:rsidR="0054515F" w:rsidRPr="004E2E14" w:rsidRDefault="0054515F" w:rsidP="00FB41F6">
      <w:pPr>
        <w:spacing w:after="60" w:line="240" w:lineRule="auto"/>
        <w:jc w:val="center"/>
        <w:rPr>
          <w:rFonts w:ascii="Times New Roman" w:hAnsi="Times New Roman" w:cs="Times New Roman"/>
          <w:sz w:val="24"/>
          <w:szCs w:val="24"/>
        </w:rPr>
      </w:pPr>
    </w:p>
    <w:p w14:paraId="74D8AC39" w14:textId="12E1452E" w:rsidR="00FB41F6" w:rsidRPr="00FB41F6" w:rsidRDefault="00FB41F6" w:rsidP="00FB41F6">
      <w:pPr>
        <w:spacing w:after="60" w:line="240" w:lineRule="auto"/>
        <w:jc w:val="center"/>
        <w:rPr>
          <w:rFonts w:ascii="Times New Roman" w:hAnsi="Times New Roman" w:cs="Times New Roman"/>
          <w:sz w:val="28"/>
          <w:szCs w:val="28"/>
          <w:lang w:val="pt-PT"/>
        </w:rPr>
      </w:pPr>
      <w:r w:rsidRPr="00FB41F6">
        <w:rPr>
          <w:rFonts w:ascii="Times New Roman" w:hAnsi="Times New Roman" w:cs="Times New Roman"/>
          <w:sz w:val="28"/>
          <w:szCs w:val="28"/>
          <w:lang w:val="pt-PT"/>
        </w:rPr>
        <w:t>ESTADO DE DIREITO</w:t>
      </w:r>
      <w:r w:rsidR="00425FC8">
        <w:rPr>
          <w:rFonts w:ascii="Times New Roman" w:hAnsi="Times New Roman" w:cs="Times New Roman"/>
          <w:sz w:val="28"/>
          <w:szCs w:val="28"/>
          <w:lang w:val="pt-PT"/>
        </w:rPr>
        <w:t>,</w:t>
      </w:r>
      <w:r>
        <w:rPr>
          <w:rFonts w:ascii="Times New Roman" w:hAnsi="Times New Roman" w:cs="Times New Roman"/>
          <w:sz w:val="28"/>
          <w:szCs w:val="28"/>
          <w:lang w:val="pt-PT"/>
        </w:rPr>
        <w:t xml:space="preserve"> </w:t>
      </w:r>
      <w:r w:rsidRPr="00FB41F6">
        <w:rPr>
          <w:rFonts w:ascii="Times New Roman" w:hAnsi="Times New Roman" w:cs="Times New Roman"/>
          <w:sz w:val="28"/>
          <w:szCs w:val="28"/>
          <w:lang w:val="pt-PT"/>
        </w:rPr>
        <w:t>TRIBUNAIS E INDEPENDÊNCIA JUDICIAL:</w:t>
      </w:r>
    </w:p>
    <w:p w14:paraId="628445FF" w14:textId="3E941A8A" w:rsidR="00FB41F6" w:rsidRPr="00FB41F6" w:rsidRDefault="00FB41F6" w:rsidP="001D12B5">
      <w:pPr>
        <w:spacing w:after="60" w:line="240" w:lineRule="auto"/>
        <w:jc w:val="center"/>
        <w:rPr>
          <w:rFonts w:ascii="Times New Roman" w:hAnsi="Times New Roman" w:cs="Times New Roman"/>
          <w:sz w:val="28"/>
          <w:szCs w:val="28"/>
          <w:lang w:val="pt-PT"/>
        </w:rPr>
      </w:pPr>
      <w:r w:rsidRPr="00FB41F6">
        <w:rPr>
          <w:rFonts w:ascii="Times New Roman" w:hAnsi="Times New Roman" w:cs="Times New Roman"/>
          <w:sz w:val="28"/>
          <w:szCs w:val="28"/>
          <w:lang w:val="pt-PT"/>
        </w:rPr>
        <w:t>LUTA PELA SOBREV</w:t>
      </w:r>
      <w:bookmarkStart w:id="1" w:name="_GoBack"/>
      <w:bookmarkEnd w:id="1"/>
      <w:r w:rsidRPr="00FB41F6">
        <w:rPr>
          <w:rFonts w:ascii="Times New Roman" w:hAnsi="Times New Roman" w:cs="Times New Roman"/>
          <w:sz w:val="28"/>
          <w:szCs w:val="28"/>
          <w:lang w:val="pt-PT"/>
        </w:rPr>
        <w:t>IVÊNCIA CONTRA O PODER POLÍTICO</w:t>
      </w:r>
    </w:p>
    <w:p w14:paraId="3903E827" w14:textId="7F4ED435" w:rsidR="00FB41F6" w:rsidRPr="00FB41F6" w:rsidRDefault="00FB41F6" w:rsidP="00FB41F6">
      <w:pPr>
        <w:spacing w:after="60" w:line="240" w:lineRule="auto"/>
        <w:jc w:val="center"/>
        <w:rPr>
          <w:rFonts w:ascii="Times New Roman" w:hAnsi="Times New Roman" w:cs="Times New Roman"/>
          <w:sz w:val="28"/>
          <w:szCs w:val="28"/>
        </w:rPr>
      </w:pPr>
      <w:r w:rsidRPr="00FB41F6">
        <w:rPr>
          <w:rFonts w:ascii="Times New Roman" w:hAnsi="Times New Roman" w:cs="Times New Roman"/>
          <w:sz w:val="28"/>
          <w:szCs w:val="28"/>
        </w:rPr>
        <w:t>RULE OF LAW</w:t>
      </w:r>
      <w:r w:rsidR="00425FC8">
        <w:rPr>
          <w:rFonts w:ascii="Times New Roman" w:hAnsi="Times New Roman" w:cs="Times New Roman"/>
          <w:sz w:val="28"/>
          <w:szCs w:val="28"/>
        </w:rPr>
        <w:t xml:space="preserve">, THE JUDICIARY </w:t>
      </w:r>
      <w:r w:rsidRPr="00FB41F6">
        <w:rPr>
          <w:rFonts w:ascii="Times New Roman" w:hAnsi="Times New Roman" w:cs="Times New Roman"/>
          <w:sz w:val="28"/>
          <w:szCs w:val="28"/>
        </w:rPr>
        <w:t>AND JUDICIAL INDEPENDENCE:</w:t>
      </w:r>
    </w:p>
    <w:p w14:paraId="5AB6FE39" w14:textId="6CBB0904" w:rsidR="00FB41F6" w:rsidRDefault="00FB41F6" w:rsidP="00FB41F6">
      <w:pPr>
        <w:spacing w:after="60" w:line="240" w:lineRule="auto"/>
        <w:jc w:val="center"/>
        <w:rPr>
          <w:rFonts w:ascii="Times New Roman" w:hAnsi="Times New Roman" w:cs="Times New Roman"/>
          <w:sz w:val="28"/>
          <w:szCs w:val="28"/>
        </w:rPr>
      </w:pPr>
      <w:r w:rsidRPr="00FB41F6">
        <w:rPr>
          <w:rFonts w:ascii="Times New Roman" w:hAnsi="Times New Roman" w:cs="Times New Roman"/>
          <w:sz w:val="28"/>
          <w:szCs w:val="28"/>
        </w:rPr>
        <w:t>FIGHTING FOR SURVIVAL AGAINST POLITICAL POWER</w:t>
      </w:r>
      <w:r w:rsidR="00256EEE">
        <w:rPr>
          <w:rStyle w:val="Refdenotaalpie"/>
          <w:rFonts w:ascii="Times New Roman" w:hAnsi="Times New Roman" w:cs="Times New Roman"/>
          <w:sz w:val="28"/>
          <w:szCs w:val="28"/>
        </w:rPr>
        <w:footnoteReference w:id="1"/>
      </w:r>
    </w:p>
    <w:p w14:paraId="7465895B" w14:textId="77777777" w:rsidR="00FB41F6" w:rsidRDefault="00FB41F6" w:rsidP="00FB41F6">
      <w:pPr>
        <w:spacing w:after="60" w:line="240" w:lineRule="auto"/>
        <w:jc w:val="center"/>
        <w:rPr>
          <w:rFonts w:ascii="Times New Roman" w:hAnsi="Times New Roman" w:cs="Times New Roman"/>
          <w:sz w:val="28"/>
          <w:szCs w:val="28"/>
        </w:rPr>
      </w:pPr>
    </w:p>
    <w:p w14:paraId="32EED89E" w14:textId="5AD565B3" w:rsidR="0086781B" w:rsidRPr="00FB41F6" w:rsidRDefault="00FA3338" w:rsidP="00FB41F6">
      <w:pPr>
        <w:spacing w:after="60" w:line="240" w:lineRule="auto"/>
        <w:jc w:val="right"/>
        <w:rPr>
          <w:rFonts w:ascii="Times New Roman" w:hAnsi="Times New Roman" w:cs="Times New Roman"/>
          <w:sz w:val="20"/>
          <w:szCs w:val="20"/>
          <w:lang w:val="pt-PT"/>
        </w:rPr>
      </w:pPr>
      <w:r w:rsidRPr="00FB41F6">
        <w:rPr>
          <w:rFonts w:ascii="Times New Roman" w:hAnsi="Times New Roman" w:cs="Times New Roman"/>
          <w:sz w:val="24"/>
          <w:szCs w:val="24"/>
          <w:lang w:val="pt-PT"/>
        </w:rPr>
        <w:t>Cristina</w:t>
      </w:r>
      <w:r w:rsidRPr="00FB41F6">
        <w:rPr>
          <w:rFonts w:ascii="Times New Roman" w:hAnsi="Times New Roman" w:cs="Times New Roman"/>
          <w:sz w:val="20"/>
          <w:szCs w:val="20"/>
          <w:lang w:val="pt-PT"/>
        </w:rPr>
        <w:t xml:space="preserve"> </w:t>
      </w:r>
      <w:r w:rsidR="00FB41F6" w:rsidRPr="00FB41F6">
        <w:rPr>
          <w:rFonts w:ascii="Times New Roman" w:hAnsi="Times New Roman" w:cs="Times New Roman"/>
          <w:sz w:val="20"/>
          <w:szCs w:val="20"/>
          <w:lang w:val="pt-PT"/>
        </w:rPr>
        <w:t>ARAGÃO SEIA</w:t>
      </w:r>
      <w:r w:rsidR="00976ECF" w:rsidRPr="00B80F60">
        <w:rPr>
          <w:rStyle w:val="Refdenotaalpie"/>
          <w:rFonts w:ascii="Times New Roman" w:hAnsi="Times New Roman" w:cs="Times New Roman"/>
          <w:sz w:val="20"/>
          <w:szCs w:val="20"/>
        </w:rPr>
        <w:footnoteReference w:id="2"/>
      </w:r>
    </w:p>
    <w:p w14:paraId="42380385" w14:textId="53F9D558" w:rsidR="00FA3338" w:rsidRPr="002E005C" w:rsidRDefault="0086781B" w:rsidP="004E2E14">
      <w:pPr>
        <w:spacing w:after="60" w:line="240" w:lineRule="auto"/>
        <w:jc w:val="right"/>
        <w:rPr>
          <w:rFonts w:ascii="Times New Roman" w:hAnsi="Times New Roman" w:cs="Times New Roman"/>
          <w:i/>
          <w:iCs/>
          <w:sz w:val="20"/>
          <w:szCs w:val="20"/>
        </w:rPr>
      </w:pPr>
      <w:r w:rsidRPr="002E005C">
        <w:rPr>
          <w:rFonts w:ascii="Times New Roman" w:hAnsi="Times New Roman" w:cs="Times New Roman"/>
          <w:i/>
          <w:iCs/>
          <w:sz w:val="20"/>
          <w:szCs w:val="20"/>
        </w:rPr>
        <w:t>CEJEIA</w:t>
      </w:r>
      <w:r w:rsidR="00FA3338" w:rsidRPr="002E005C">
        <w:rPr>
          <w:rFonts w:ascii="Times New Roman" w:hAnsi="Times New Roman" w:cs="Times New Roman"/>
          <w:i/>
          <w:iCs/>
          <w:sz w:val="20"/>
          <w:szCs w:val="20"/>
        </w:rPr>
        <w:t xml:space="preserve"> </w:t>
      </w:r>
    </w:p>
    <w:p w14:paraId="13CA323A" w14:textId="592B49FC" w:rsidR="005224FE" w:rsidRDefault="00FA3338" w:rsidP="00B80F60">
      <w:pPr>
        <w:spacing w:after="0" w:line="240" w:lineRule="auto"/>
        <w:jc w:val="right"/>
        <w:rPr>
          <w:rFonts w:ascii="Times New Roman" w:hAnsi="Times New Roman" w:cs="Times New Roman"/>
          <w:i/>
          <w:iCs/>
          <w:sz w:val="20"/>
          <w:szCs w:val="20"/>
        </w:rPr>
      </w:pPr>
      <w:r w:rsidRPr="00B80F60">
        <w:rPr>
          <w:rFonts w:ascii="Times New Roman" w:hAnsi="Times New Roman" w:cs="Times New Roman"/>
          <w:i/>
          <w:iCs/>
          <w:sz w:val="20"/>
          <w:szCs w:val="20"/>
        </w:rPr>
        <w:t>Lusíada University in Oporto, Faculty of Law</w:t>
      </w:r>
    </w:p>
    <w:p w14:paraId="05C05818" w14:textId="77777777" w:rsidR="00923AAA" w:rsidRDefault="00923AAA" w:rsidP="00B80F60">
      <w:pPr>
        <w:spacing w:after="0" w:line="240" w:lineRule="auto"/>
        <w:jc w:val="right"/>
        <w:rPr>
          <w:rFonts w:ascii="Times New Roman" w:hAnsi="Times New Roman" w:cs="Times New Roman"/>
          <w:i/>
          <w:iCs/>
          <w:sz w:val="20"/>
          <w:szCs w:val="20"/>
        </w:rPr>
      </w:pPr>
    </w:p>
    <w:p w14:paraId="093F1897" w14:textId="77777777" w:rsidR="00923AAA" w:rsidRPr="00B80F60" w:rsidRDefault="00923AAA" w:rsidP="00B80F60">
      <w:pPr>
        <w:spacing w:after="0" w:line="240" w:lineRule="auto"/>
        <w:jc w:val="right"/>
        <w:rPr>
          <w:rFonts w:ascii="Times New Roman" w:hAnsi="Times New Roman" w:cs="Times New Roman"/>
          <w:i/>
          <w:iCs/>
          <w:sz w:val="20"/>
          <w:szCs w:val="20"/>
        </w:rPr>
      </w:pPr>
    </w:p>
    <w:p w14:paraId="3FF2EC87" w14:textId="48F37E2F" w:rsidR="00F2356B" w:rsidRDefault="001D12B5" w:rsidP="004E2E14">
      <w:pPr>
        <w:spacing w:line="240" w:lineRule="auto"/>
        <w:jc w:val="both"/>
        <w:rPr>
          <w:rFonts w:ascii="Times New Roman" w:hAnsi="Times New Roman" w:cs="Times New Roman"/>
          <w:smallCaps/>
          <w:sz w:val="20"/>
          <w:szCs w:val="20"/>
          <w:lang w:val="pt-PT"/>
        </w:rPr>
      </w:pPr>
      <w:r w:rsidRPr="00F2356B">
        <w:rPr>
          <w:rFonts w:ascii="Times New Roman" w:hAnsi="Times New Roman" w:cs="Times New Roman"/>
          <w:smallCaps/>
          <w:sz w:val="20"/>
          <w:szCs w:val="20"/>
          <w:lang w:val="pt-PT"/>
        </w:rPr>
        <w:t>RESUMO:</w:t>
      </w:r>
    </w:p>
    <w:p w14:paraId="509C5347" w14:textId="00FFEA88" w:rsidR="00F2356B" w:rsidRPr="00F2356B" w:rsidRDefault="00F2356B" w:rsidP="00F2356B">
      <w:pPr>
        <w:spacing w:after="0" w:line="240" w:lineRule="auto"/>
        <w:jc w:val="both"/>
        <w:rPr>
          <w:rFonts w:ascii="Times New Roman" w:hAnsi="Times New Roman" w:cs="Times New Roman"/>
          <w:i/>
          <w:iCs/>
          <w:sz w:val="24"/>
          <w:szCs w:val="24"/>
          <w:lang w:val="pt-PT"/>
        </w:rPr>
      </w:pPr>
      <w:r w:rsidRPr="00F2356B">
        <w:rPr>
          <w:rFonts w:ascii="Times New Roman" w:hAnsi="Times New Roman" w:cs="Times New Roman"/>
          <w:i/>
          <w:iCs/>
          <w:sz w:val="24"/>
          <w:szCs w:val="24"/>
          <w:lang w:val="pt-PT"/>
        </w:rPr>
        <w:t>Uma das prioridades da União Europeia é a proteção do respeito pelo Estado de direito.</w:t>
      </w:r>
    </w:p>
    <w:p w14:paraId="177F19C8" w14:textId="0D3903C9" w:rsidR="00F2356B" w:rsidRPr="00F2356B" w:rsidRDefault="00F2356B" w:rsidP="00F2356B">
      <w:pPr>
        <w:spacing w:after="0" w:line="240" w:lineRule="auto"/>
        <w:jc w:val="both"/>
        <w:rPr>
          <w:rFonts w:ascii="Times New Roman" w:hAnsi="Times New Roman" w:cs="Times New Roman"/>
          <w:i/>
          <w:iCs/>
          <w:sz w:val="24"/>
          <w:szCs w:val="24"/>
          <w:lang w:val="pt-PT"/>
        </w:rPr>
      </w:pPr>
      <w:r w:rsidRPr="00F2356B">
        <w:rPr>
          <w:rFonts w:ascii="Times New Roman" w:hAnsi="Times New Roman" w:cs="Times New Roman"/>
          <w:i/>
          <w:iCs/>
          <w:sz w:val="24"/>
          <w:szCs w:val="24"/>
          <w:lang w:val="pt-PT"/>
        </w:rPr>
        <w:t>Um dos aspectos que se tem revelado um verdadeiro desafio nesta matéria é a</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independência judicial, que nos últimos anos tem vindo a sofrer retrocessos que a União</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Europeia só a muito custo tem conseguido travar. De facto, as reformas judiciais</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levadas a cabo pelos governos de alguns Estados-Membros têm afectado profundamente</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a independência judicial, ameaçando o princípio da separação de poderes, a própria</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democracia e a credibilidade do sistema judicial, tornando-o por vezes refém do poder</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político e alvo da corrupção por parte de interesses económicos vários. Aquelas</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alterações institucionais são, nalguns casos, contrárias à Constituição, noutros apoiam-</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se na Lei Fundamental dos Estados membros, em clara violação dos valores</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fundamentais europeus, obrigando as instituições europeias a ter de tomar posição, em</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particular o Tribunal de Justiça da União Europeia, que tem vindo a desempenhar um</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papel crucial nesta matéria.</w:t>
      </w:r>
    </w:p>
    <w:p w14:paraId="3B38BE8C" w14:textId="52CAEF08" w:rsidR="00F2356B" w:rsidRPr="001D12B5" w:rsidRDefault="00F2356B" w:rsidP="004E2E14">
      <w:pPr>
        <w:spacing w:line="240" w:lineRule="auto"/>
        <w:jc w:val="both"/>
        <w:rPr>
          <w:rFonts w:ascii="Times New Roman" w:hAnsi="Times New Roman" w:cs="Times New Roman"/>
          <w:i/>
          <w:iCs/>
          <w:sz w:val="24"/>
          <w:szCs w:val="24"/>
          <w:lang w:val="pt-PT"/>
        </w:rPr>
      </w:pPr>
      <w:r w:rsidRPr="00F2356B">
        <w:rPr>
          <w:rFonts w:ascii="Times New Roman" w:hAnsi="Times New Roman" w:cs="Times New Roman"/>
          <w:i/>
          <w:iCs/>
          <w:sz w:val="24"/>
          <w:szCs w:val="24"/>
          <w:lang w:val="pt-PT"/>
        </w:rPr>
        <w:t>Tratando-se de uma questão atual, relevante e mesmo vital para a própria existência da</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União Europeia, e que, por ser dinâmica, não se encontra manifestamente esgotada no</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plano académico, este trabalho pretende apresentar os mecanismos e soluções utilizados</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pela União Europeia contra alguns dos Estados membros que condicionam a</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independência judicial e avaliar os resultados da sua aplicação. Através de uma análise</w:t>
      </w:r>
      <w:r>
        <w:rPr>
          <w:rFonts w:ascii="Times New Roman" w:hAnsi="Times New Roman" w:cs="Times New Roman"/>
          <w:i/>
          <w:iCs/>
          <w:sz w:val="24"/>
          <w:szCs w:val="24"/>
          <w:lang w:val="pt-PT"/>
        </w:rPr>
        <w:t xml:space="preserve"> c</w:t>
      </w:r>
      <w:r w:rsidRPr="00F2356B">
        <w:rPr>
          <w:rFonts w:ascii="Times New Roman" w:hAnsi="Times New Roman" w:cs="Times New Roman"/>
          <w:i/>
          <w:iCs/>
          <w:sz w:val="24"/>
          <w:szCs w:val="24"/>
          <w:lang w:val="pt-PT"/>
        </w:rPr>
        <w:t>rítica desses mecanismos, de uma revisão da literatura mais relevante e das mais</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recentes decisões do Tribunal de Justiça da União Europeia, e de alguns estudos de</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caso, pretende-se evidenciar os meios jurídicos, políticos e económicos que têm sido</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accionados e podem ser decisivos para o sucesso do restabelecimento da independência</w:t>
      </w:r>
      <w:r>
        <w:rPr>
          <w:rFonts w:ascii="Times New Roman" w:hAnsi="Times New Roman" w:cs="Times New Roman"/>
          <w:i/>
          <w:iCs/>
          <w:sz w:val="24"/>
          <w:szCs w:val="24"/>
          <w:lang w:val="pt-PT"/>
        </w:rPr>
        <w:t xml:space="preserve"> </w:t>
      </w:r>
      <w:r w:rsidRPr="00F2356B">
        <w:rPr>
          <w:rFonts w:ascii="Times New Roman" w:hAnsi="Times New Roman" w:cs="Times New Roman"/>
          <w:i/>
          <w:iCs/>
          <w:sz w:val="24"/>
          <w:szCs w:val="24"/>
          <w:lang w:val="pt-PT"/>
        </w:rPr>
        <w:t>judicial e do Estado de Direito na União Europeia.</w:t>
      </w:r>
    </w:p>
    <w:p w14:paraId="228E0AC5" w14:textId="62B4468F" w:rsidR="0086781B" w:rsidRPr="00B80F60" w:rsidRDefault="00425FC8" w:rsidP="004E2E14">
      <w:pPr>
        <w:spacing w:line="240" w:lineRule="auto"/>
        <w:jc w:val="both"/>
        <w:rPr>
          <w:rFonts w:ascii="Times New Roman" w:hAnsi="Times New Roman" w:cs="Times New Roman"/>
          <w:smallCaps/>
          <w:sz w:val="20"/>
          <w:szCs w:val="20"/>
        </w:rPr>
      </w:pPr>
      <w:r w:rsidRPr="00B80F60">
        <w:rPr>
          <w:rFonts w:ascii="Times New Roman" w:hAnsi="Times New Roman" w:cs="Times New Roman"/>
          <w:smallCaps/>
          <w:sz w:val="20"/>
          <w:szCs w:val="20"/>
        </w:rPr>
        <w:lastRenderedPageBreak/>
        <w:t>ABSTRACT</w:t>
      </w:r>
      <w:r w:rsidR="003D12B3" w:rsidRPr="00B80F60">
        <w:rPr>
          <w:rFonts w:ascii="Times New Roman" w:hAnsi="Times New Roman" w:cs="Times New Roman"/>
          <w:smallCaps/>
          <w:sz w:val="20"/>
          <w:szCs w:val="20"/>
        </w:rPr>
        <w:t>:</w:t>
      </w:r>
    </w:p>
    <w:p w14:paraId="21CE71AF" w14:textId="63ED2C59" w:rsidR="00E72D3A" w:rsidRPr="00E72D3A" w:rsidRDefault="00E72D3A" w:rsidP="00E72D3A">
      <w:pPr>
        <w:spacing w:after="0" w:line="240" w:lineRule="auto"/>
        <w:jc w:val="both"/>
        <w:rPr>
          <w:rFonts w:ascii="Times New Roman" w:hAnsi="Times New Roman" w:cs="Times New Roman"/>
          <w:i/>
          <w:iCs/>
          <w:sz w:val="24"/>
          <w:szCs w:val="24"/>
        </w:rPr>
      </w:pPr>
      <w:r w:rsidRPr="00E72D3A">
        <w:rPr>
          <w:rFonts w:ascii="Times New Roman" w:hAnsi="Times New Roman" w:cs="Times New Roman"/>
          <w:i/>
          <w:iCs/>
          <w:sz w:val="24"/>
          <w:szCs w:val="24"/>
        </w:rPr>
        <w:t xml:space="preserve">One of the European Union’s priorities is to defend and uphold respect for the </w:t>
      </w:r>
      <w:r w:rsidR="00062F6C">
        <w:rPr>
          <w:rFonts w:ascii="Times New Roman" w:hAnsi="Times New Roman" w:cs="Times New Roman"/>
          <w:i/>
          <w:iCs/>
          <w:sz w:val="24"/>
          <w:szCs w:val="24"/>
        </w:rPr>
        <w:t>Rule of Law</w:t>
      </w:r>
      <w:r w:rsidRPr="00E72D3A">
        <w:rPr>
          <w:rFonts w:ascii="Times New Roman" w:hAnsi="Times New Roman" w:cs="Times New Roman"/>
          <w:i/>
          <w:iCs/>
          <w:sz w:val="24"/>
          <w:szCs w:val="24"/>
        </w:rPr>
        <w:t>. In this regard, one of the significant challenges has been maintaining judicial independence, which in recent years has faced setbacks that the EU has only managed to address at great cost.</w:t>
      </w:r>
    </w:p>
    <w:p w14:paraId="03465200" w14:textId="4D315916" w:rsidR="00E72D3A" w:rsidRPr="00E72D3A" w:rsidRDefault="00E72D3A" w:rsidP="00E72D3A">
      <w:pPr>
        <w:spacing w:after="0" w:line="240" w:lineRule="auto"/>
        <w:jc w:val="both"/>
        <w:rPr>
          <w:rFonts w:ascii="Times New Roman" w:hAnsi="Times New Roman" w:cs="Times New Roman"/>
          <w:i/>
          <w:iCs/>
          <w:sz w:val="24"/>
          <w:szCs w:val="24"/>
        </w:rPr>
      </w:pPr>
      <w:r w:rsidRPr="00E72D3A">
        <w:rPr>
          <w:rFonts w:ascii="Times New Roman" w:hAnsi="Times New Roman" w:cs="Times New Roman"/>
          <w:i/>
          <w:iCs/>
          <w:sz w:val="24"/>
          <w:szCs w:val="24"/>
        </w:rPr>
        <w:t xml:space="preserve">Indeed, certain judicial reforms implemented by Member State governments—particularly those leaning toward autocratic and populist governance—have seriously compromised judicial independence, threatening the principles of separation of powers, human rights, democracy itself, and the credibility of the judiciary. In some instances, the judiciary has been rendered vulnerable to political power, even becoming a target for corruption influenced by various economic interests. These institutional changes are sometimes unconstitutional, while in other cases, they are based on the fundamental laws of </w:t>
      </w:r>
      <w:r w:rsidR="00062F6C">
        <w:rPr>
          <w:rFonts w:ascii="Times New Roman" w:hAnsi="Times New Roman" w:cs="Times New Roman"/>
          <w:i/>
          <w:iCs/>
          <w:sz w:val="24"/>
          <w:szCs w:val="24"/>
        </w:rPr>
        <w:t>Member States</w:t>
      </w:r>
      <w:r w:rsidRPr="00E72D3A">
        <w:rPr>
          <w:rFonts w:ascii="Times New Roman" w:hAnsi="Times New Roman" w:cs="Times New Roman"/>
          <w:i/>
          <w:iCs/>
          <w:sz w:val="24"/>
          <w:szCs w:val="24"/>
        </w:rPr>
        <w:t xml:space="preserve"> but violate core European values, compelling EU institutions to intervene.</w:t>
      </w:r>
    </w:p>
    <w:p w14:paraId="3BC48A5D" w14:textId="77777777" w:rsidR="00E72D3A" w:rsidRPr="00E72D3A" w:rsidRDefault="00E72D3A" w:rsidP="00E72D3A">
      <w:pPr>
        <w:spacing w:after="0" w:line="240" w:lineRule="auto"/>
        <w:jc w:val="both"/>
        <w:rPr>
          <w:rFonts w:ascii="Times New Roman" w:hAnsi="Times New Roman" w:cs="Times New Roman"/>
          <w:i/>
          <w:iCs/>
          <w:sz w:val="24"/>
          <w:szCs w:val="24"/>
        </w:rPr>
      </w:pPr>
      <w:r w:rsidRPr="00E72D3A">
        <w:rPr>
          <w:rFonts w:ascii="Times New Roman" w:hAnsi="Times New Roman" w:cs="Times New Roman"/>
          <w:i/>
          <w:iCs/>
          <w:sz w:val="24"/>
          <w:szCs w:val="24"/>
        </w:rPr>
        <w:t>How, then, can judicial independence be protected from political influence? This is the central question this paper aims to address.</w:t>
      </w:r>
    </w:p>
    <w:p w14:paraId="507C0C75" w14:textId="46CB3140" w:rsidR="0060236A" w:rsidRDefault="00E72D3A" w:rsidP="00E72D3A">
      <w:pPr>
        <w:spacing w:after="0" w:line="240" w:lineRule="auto"/>
        <w:jc w:val="both"/>
        <w:rPr>
          <w:rFonts w:ascii="Times New Roman" w:hAnsi="Times New Roman" w:cs="Times New Roman"/>
          <w:i/>
          <w:iCs/>
          <w:sz w:val="24"/>
          <w:szCs w:val="24"/>
        </w:rPr>
      </w:pPr>
      <w:r w:rsidRPr="00E72D3A">
        <w:rPr>
          <w:rFonts w:ascii="Times New Roman" w:hAnsi="Times New Roman" w:cs="Times New Roman"/>
          <w:i/>
          <w:iCs/>
          <w:sz w:val="24"/>
          <w:szCs w:val="24"/>
        </w:rPr>
        <w:t xml:space="preserve">Given the importance and relevance of this issue to the EU’s integrity—and because it is a dynamic challenge that extends beyond academia—this work will explore the solutions the European Union has employed in response to </w:t>
      </w:r>
      <w:r w:rsidR="00062F6C">
        <w:rPr>
          <w:rFonts w:ascii="Times New Roman" w:hAnsi="Times New Roman" w:cs="Times New Roman"/>
          <w:i/>
          <w:iCs/>
          <w:sz w:val="24"/>
          <w:szCs w:val="24"/>
        </w:rPr>
        <w:t>Member States</w:t>
      </w:r>
      <w:r w:rsidRPr="00E72D3A">
        <w:rPr>
          <w:rFonts w:ascii="Times New Roman" w:hAnsi="Times New Roman" w:cs="Times New Roman"/>
          <w:i/>
          <w:iCs/>
          <w:sz w:val="24"/>
          <w:szCs w:val="24"/>
        </w:rPr>
        <w:t xml:space="preserve"> that threaten judicial independence and evaluate the effectiveness of these measures. Through the examination of case studies, critical analysis of EU mechanisms, and review of recent decisions from the Court of Justice of the European Union, this paper seeks to highlight the legal, political, and economic tools that can help successfully restore judicial independence and the </w:t>
      </w:r>
      <w:r w:rsidR="00062F6C">
        <w:rPr>
          <w:rFonts w:ascii="Times New Roman" w:hAnsi="Times New Roman" w:cs="Times New Roman"/>
          <w:i/>
          <w:iCs/>
          <w:sz w:val="24"/>
          <w:szCs w:val="24"/>
        </w:rPr>
        <w:t>Rule of Law</w:t>
      </w:r>
      <w:r w:rsidRPr="00E72D3A">
        <w:rPr>
          <w:rFonts w:ascii="Times New Roman" w:hAnsi="Times New Roman" w:cs="Times New Roman"/>
          <w:i/>
          <w:iCs/>
          <w:sz w:val="24"/>
          <w:szCs w:val="24"/>
        </w:rPr>
        <w:t xml:space="preserve"> at a</w:t>
      </w:r>
      <w:r w:rsidR="0028589F">
        <w:rPr>
          <w:rFonts w:ascii="Times New Roman" w:hAnsi="Times New Roman" w:cs="Times New Roman"/>
          <w:i/>
          <w:iCs/>
          <w:sz w:val="24"/>
          <w:szCs w:val="24"/>
        </w:rPr>
        <w:t xml:space="preserve"> </w:t>
      </w:r>
      <w:r w:rsidRPr="00E72D3A">
        <w:rPr>
          <w:rFonts w:ascii="Times New Roman" w:hAnsi="Times New Roman" w:cs="Times New Roman"/>
          <w:i/>
          <w:iCs/>
          <w:sz w:val="24"/>
          <w:szCs w:val="24"/>
        </w:rPr>
        <w:t>European</w:t>
      </w:r>
      <w:r w:rsidR="0028589F">
        <w:rPr>
          <w:rFonts w:ascii="Times New Roman" w:hAnsi="Times New Roman" w:cs="Times New Roman"/>
          <w:i/>
          <w:iCs/>
          <w:sz w:val="24"/>
          <w:szCs w:val="24"/>
        </w:rPr>
        <w:t xml:space="preserve"> </w:t>
      </w:r>
      <w:r w:rsidRPr="00E72D3A">
        <w:rPr>
          <w:rFonts w:ascii="Times New Roman" w:hAnsi="Times New Roman" w:cs="Times New Roman"/>
          <w:i/>
          <w:iCs/>
          <w:sz w:val="24"/>
          <w:szCs w:val="24"/>
        </w:rPr>
        <w:t>level.</w:t>
      </w:r>
    </w:p>
    <w:p w14:paraId="729AE237" w14:textId="77777777" w:rsidR="00923AAA" w:rsidRPr="00F2356B" w:rsidRDefault="00923AAA" w:rsidP="00E72D3A">
      <w:pPr>
        <w:spacing w:after="0" w:line="240" w:lineRule="auto"/>
        <w:jc w:val="both"/>
        <w:rPr>
          <w:rFonts w:ascii="Times New Roman" w:hAnsi="Times New Roman" w:cs="Times New Roman"/>
          <w:sz w:val="20"/>
          <w:szCs w:val="20"/>
        </w:rPr>
      </w:pPr>
    </w:p>
    <w:p w14:paraId="3AA6D00A" w14:textId="3DC54CB2" w:rsidR="00F2356B" w:rsidRPr="00F2356B" w:rsidRDefault="00F2356B" w:rsidP="00F2356B">
      <w:pPr>
        <w:spacing w:after="0" w:line="240" w:lineRule="auto"/>
        <w:jc w:val="both"/>
        <w:rPr>
          <w:rFonts w:ascii="Times New Roman" w:hAnsi="Times New Roman" w:cs="Times New Roman"/>
          <w:sz w:val="20"/>
          <w:szCs w:val="20"/>
          <w:lang w:val="pt-PT"/>
        </w:rPr>
      </w:pPr>
      <w:r w:rsidRPr="00F2356B">
        <w:rPr>
          <w:rFonts w:ascii="Times New Roman" w:hAnsi="Times New Roman" w:cs="Times New Roman"/>
          <w:sz w:val="20"/>
          <w:szCs w:val="20"/>
          <w:lang w:val="pt-PT"/>
        </w:rPr>
        <w:t>PALAVRAS-CHAVE:</w:t>
      </w:r>
    </w:p>
    <w:p w14:paraId="2C87F4F0" w14:textId="77777777" w:rsidR="00F2356B" w:rsidRPr="00F2356B" w:rsidRDefault="00F2356B" w:rsidP="00F2356B">
      <w:pPr>
        <w:spacing w:after="0" w:line="240" w:lineRule="auto"/>
        <w:jc w:val="both"/>
        <w:rPr>
          <w:rFonts w:ascii="Times New Roman" w:hAnsi="Times New Roman" w:cs="Times New Roman"/>
          <w:sz w:val="24"/>
          <w:szCs w:val="24"/>
          <w:lang w:val="pt-PT"/>
        </w:rPr>
      </w:pPr>
      <w:r w:rsidRPr="00F2356B">
        <w:rPr>
          <w:rFonts w:ascii="Times New Roman" w:hAnsi="Times New Roman" w:cs="Times New Roman"/>
          <w:sz w:val="24"/>
          <w:szCs w:val="24"/>
          <w:lang w:val="pt-PT"/>
        </w:rPr>
        <w:t>União Europeia, Estado de direito, independência judicial, estatuto dos juízes.</w:t>
      </w:r>
    </w:p>
    <w:p w14:paraId="4F346E55" w14:textId="77777777" w:rsidR="00E72D3A" w:rsidRPr="00F2356B" w:rsidRDefault="00E72D3A" w:rsidP="00E72D3A">
      <w:pPr>
        <w:spacing w:after="0" w:line="240" w:lineRule="auto"/>
        <w:jc w:val="both"/>
        <w:rPr>
          <w:rFonts w:ascii="Times New Roman" w:hAnsi="Times New Roman" w:cs="Times New Roman"/>
          <w:sz w:val="24"/>
          <w:szCs w:val="24"/>
          <w:lang w:val="pt-PT"/>
        </w:rPr>
      </w:pPr>
    </w:p>
    <w:p w14:paraId="633C6766" w14:textId="4857BDA2" w:rsidR="00117010" w:rsidRPr="00F2356B" w:rsidRDefault="00425FC8" w:rsidP="004E2E14">
      <w:pPr>
        <w:spacing w:after="0" w:line="240" w:lineRule="auto"/>
        <w:ind w:left="1247" w:hanging="1247"/>
        <w:jc w:val="both"/>
        <w:rPr>
          <w:rFonts w:ascii="Times New Roman" w:hAnsi="Times New Roman" w:cs="Times New Roman"/>
          <w:sz w:val="20"/>
          <w:szCs w:val="20"/>
        </w:rPr>
      </w:pPr>
      <w:r w:rsidRPr="00F2356B">
        <w:rPr>
          <w:rFonts w:ascii="Times New Roman" w:hAnsi="Times New Roman" w:cs="Times New Roman"/>
          <w:smallCaps/>
          <w:sz w:val="20"/>
          <w:szCs w:val="20"/>
        </w:rPr>
        <w:t>KEYWORDS:</w:t>
      </w:r>
      <w:r w:rsidRPr="00F2356B">
        <w:rPr>
          <w:rFonts w:ascii="Times New Roman" w:hAnsi="Times New Roman" w:cs="Times New Roman"/>
          <w:sz w:val="20"/>
          <w:szCs w:val="20"/>
        </w:rPr>
        <w:t xml:space="preserve"> </w:t>
      </w:r>
      <w:r w:rsidRPr="00F2356B">
        <w:rPr>
          <w:rFonts w:ascii="Times New Roman" w:hAnsi="Times New Roman" w:cs="Times New Roman"/>
          <w:sz w:val="20"/>
          <w:szCs w:val="20"/>
        </w:rPr>
        <w:tab/>
      </w:r>
    </w:p>
    <w:p w14:paraId="30BCDBBA" w14:textId="500622AC" w:rsidR="00923AAA" w:rsidRDefault="00E23B16" w:rsidP="004E2E14">
      <w:pPr>
        <w:spacing w:after="0" w:line="240" w:lineRule="auto"/>
        <w:jc w:val="both"/>
        <w:rPr>
          <w:rFonts w:ascii="Times New Roman" w:hAnsi="Times New Roman" w:cs="Times New Roman"/>
          <w:i/>
          <w:iCs/>
          <w:sz w:val="24"/>
          <w:szCs w:val="24"/>
        </w:rPr>
      </w:pPr>
      <w:r w:rsidRPr="004E2E14">
        <w:rPr>
          <w:rFonts w:ascii="Times New Roman" w:hAnsi="Times New Roman" w:cs="Times New Roman"/>
          <w:sz w:val="24"/>
          <w:szCs w:val="24"/>
        </w:rPr>
        <w:t xml:space="preserve">European Union, </w:t>
      </w:r>
      <w:r w:rsidR="00062F6C">
        <w:rPr>
          <w:rFonts w:ascii="Times New Roman" w:hAnsi="Times New Roman" w:cs="Times New Roman"/>
          <w:sz w:val="24"/>
          <w:szCs w:val="24"/>
        </w:rPr>
        <w:t>Rule of Law</w:t>
      </w:r>
      <w:r w:rsidR="00A87A20" w:rsidRPr="004E2E14">
        <w:rPr>
          <w:rFonts w:ascii="Times New Roman" w:hAnsi="Times New Roman" w:cs="Times New Roman"/>
          <w:sz w:val="24"/>
          <w:szCs w:val="24"/>
        </w:rPr>
        <w:t xml:space="preserve">, </w:t>
      </w:r>
      <w:r w:rsidR="00923AAA">
        <w:rPr>
          <w:rFonts w:ascii="Times New Roman" w:hAnsi="Times New Roman" w:cs="Times New Roman"/>
          <w:sz w:val="24"/>
          <w:szCs w:val="24"/>
        </w:rPr>
        <w:t>J</w:t>
      </w:r>
      <w:r w:rsidRPr="004E2E14">
        <w:rPr>
          <w:rFonts w:ascii="Times New Roman" w:hAnsi="Times New Roman" w:cs="Times New Roman"/>
          <w:sz w:val="24"/>
          <w:szCs w:val="24"/>
        </w:rPr>
        <w:t xml:space="preserve">udicial </w:t>
      </w:r>
      <w:r w:rsidR="00923AAA">
        <w:rPr>
          <w:rFonts w:ascii="Times New Roman" w:hAnsi="Times New Roman" w:cs="Times New Roman"/>
          <w:sz w:val="24"/>
          <w:szCs w:val="24"/>
        </w:rPr>
        <w:t>I</w:t>
      </w:r>
      <w:r w:rsidRPr="004E2E14">
        <w:rPr>
          <w:rFonts w:ascii="Times New Roman" w:hAnsi="Times New Roman" w:cs="Times New Roman"/>
          <w:sz w:val="24"/>
          <w:szCs w:val="24"/>
        </w:rPr>
        <w:t>ndependence</w:t>
      </w:r>
      <w:r w:rsidR="00A87A20" w:rsidRPr="004E2E14">
        <w:rPr>
          <w:rFonts w:ascii="Times New Roman" w:hAnsi="Times New Roman" w:cs="Times New Roman"/>
          <w:sz w:val="24"/>
          <w:szCs w:val="24"/>
        </w:rPr>
        <w:t xml:space="preserve">, </w:t>
      </w:r>
      <w:r w:rsidR="00923AAA">
        <w:rPr>
          <w:rFonts w:ascii="Times New Roman" w:hAnsi="Times New Roman" w:cs="Times New Roman"/>
          <w:sz w:val="24"/>
          <w:szCs w:val="24"/>
        </w:rPr>
        <w:t>J</w:t>
      </w:r>
      <w:r w:rsidR="00595D45" w:rsidRPr="004E2E14">
        <w:rPr>
          <w:rFonts w:ascii="Times New Roman" w:hAnsi="Times New Roman" w:cs="Times New Roman"/>
          <w:sz w:val="24"/>
          <w:szCs w:val="24"/>
        </w:rPr>
        <w:t>udges’</w:t>
      </w:r>
      <w:r w:rsidR="00595D45" w:rsidRPr="004E2E14">
        <w:rPr>
          <w:rFonts w:ascii="Times New Roman" w:hAnsi="Times New Roman" w:cs="Times New Roman"/>
          <w:i/>
          <w:iCs/>
          <w:sz w:val="24"/>
          <w:szCs w:val="24"/>
        </w:rPr>
        <w:t xml:space="preserve"> </w:t>
      </w:r>
      <w:r w:rsidR="00923AAA">
        <w:rPr>
          <w:rFonts w:ascii="Times New Roman" w:hAnsi="Times New Roman" w:cs="Times New Roman"/>
          <w:i/>
          <w:iCs/>
          <w:sz w:val="24"/>
          <w:szCs w:val="24"/>
        </w:rPr>
        <w:t>S</w:t>
      </w:r>
      <w:r w:rsidR="00595D45" w:rsidRPr="004E2E14">
        <w:rPr>
          <w:rFonts w:ascii="Times New Roman" w:hAnsi="Times New Roman" w:cs="Times New Roman"/>
          <w:i/>
          <w:iCs/>
          <w:sz w:val="24"/>
          <w:szCs w:val="24"/>
        </w:rPr>
        <w:t>tatus</w:t>
      </w:r>
      <w:r w:rsidR="00923AAA">
        <w:rPr>
          <w:rFonts w:ascii="Times New Roman" w:hAnsi="Times New Roman" w:cs="Times New Roman"/>
          <w:i/>
          <w:iCs/>
          <w:sz w:val="24"/>
          <w:szCs w:val="24"/>
        </w:rPr>
        <w:t>.</w:t>
      </w:r>
    </w:p>
    <w:p w14:paraId="7497CC1B" w14:textId="77777777" w:rsidR="001D12B5" w:rsidRPr="001D12B5" w:rsidRDefault="001D12B5" w:rsidP="004E2E14">
      <w:pPr>
        <w:spacing w:after="0" w:line="240" w:lineRule="auto"/>
        <w:jc w:val="both"/>
        <w:rPr>
          <w:rFonts w:ascii="Times New Roman" w:hAnsi="Times New Roman" w:cs="Times New Roman"/>
          <w:b/>
          <w:bCs/>
          <w:sz w:val="24"/>
          <w:szCs w:val="24"/>
        </w:rPr>
      </w:pPr>
    </w:p>
    <w:bookmarkEnd w:id="0"/>
    <w:p w14:paraId="4298C48E" w14:textId="2E82BE1C" w:rsidR="0098143D" w:rsidRPr="001D12B5" w:rsidRDefault="00062F6C" w:rsidP="001D12B5">
      <w:pPr>
        <w:pStyle w:val="Prrafodelista"/>
        <w:numPr>
          <w:ilvl w:val="0"/>
          <w:numId w:val="25"/>
        </w:numPr>
        <w:spacing w:line="240" w:lineRule="auto"/>
        <w:ind w:left="0" w:firstLine="0"/>
        <w:jc w:val="both"/>
        <w:rPr>
          <w:rFonts w:ascii="Times New Roman" w:hAnsi="Times New Roman" w:cs="Times New Roman"/>
          <w:b/>
          <w:bCs/>
          <w:sz w:val="24"/>
          <w:szCs w:val="24"/>
        </w:rPr>
      </w:pPr>
      <w:r w:rsidRPr="001D12B5">
        <w:rPr>
          <w:rFonts w:ascii="Times New Roman" w:hAnsi="Times New Roman" w:cs="Times New Roman"/>
          <w:b/>
          <w:bCs/>
          <w:sz w:val="24"/>
          <w:szCs w:val="24"/>
        </w:rPr>
        <w:t>Rule of Law</w:t>
      </w:r>
      <w:r w:rsidR="0098143D" w:rsidRPr="001D12B5">
        <w:rPr>
          <w:rFonts w:ascii="Times New Roman" w:hAnsi="Times New Roman" w:cs="Times New Roman"/>
          <w:b/>
          <w:bCs/>
          <w:sz w:val="24"/>
          <w:szCs w:val="24"/>
        </w:rPr>
        <w:t xml:space="preserve"> as </w:t>
      </w:r>
      <w:r w:rsidR="006514DF" w:rsidRPr="001D12B5">
        <w:rPr>
          <w:rFonts w:ascii="Times New Roman" w:hAnsi="Times New Roman" w:cs="Times New Roman"/>
          <w:b/>
          <w:bCs/>
          <w:sz w:val="24"/>
          <w:szCs w:val="24"/>
        </w:rPr>
        <w:t>a</w:t>
      </w:r>
      <w:r w:rsidR="0098143D" w:rsidRPr="001D12B5">
        <w:rPr>
          <w:rFonts w:ascii="Times New Roman" w:hAnsi="Times New Roman" w:cs="Times New Roman"/>
          <w:b/>
          <w:bCs/>
          <w:sz w:val="24"/>
          <w:szCs w:val="24"/>
        </w:rPr>
        <w:t xml:space="preserve"> European Union value</w:t>
      </w:r>
    </w:p>
    <w:p w14:paraId="027044FA" w14:textId="7FF4182C" w:rsidR="007A6CD9" w:rsidRPr="004E2E14" w:rsidRDefault="00F55F7E"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Article 2 of the Treaty on </w:t>
      </w:r>
      <w:r w:rsidR="00595D45" w:rsidRPr="004E2E14">
        <w:rPr>
          <w:rFonts w:ascii="Times New Roman" w:hAnsi="Times New Roman" w:cs="Times New Roman"/>
          <w:sz w:val="24"/>
          <w:szCs w:val="24"/>
        </w:rPr>
        <w:t>the European</w:t>
      </w:r>
      <w:r w:rsidRPr="004E2E14">
        <w:rPr>
          <w:rFonts w:ascii="Times New Roman" w:hAnsi="Times New Roman" w:cs="Times New Roman"/>
          <w:sz w:val="24"/>
          <w:szCs w:val="24"/>
        </w:rPr>
        <w:t xml:space="preserve"> Union (TEU) sets out the values the Union is founded: respect for human dignity, freedom, democracy, equality, respect for human rights, including the rights of persons belonging to minorities</w:t>
      </w:r>
      <w:r w:rsidR="00112650" w:rsidRPr="004E2E14">
        <w:rPr>
          <w:rFonts w:ascii="Times New Roman" w:hAnsi="Times New Roman" w:cs="Times New Roman"/>
          <w:sz w:val="24"/>
          <w:szCs w:val="24"/>
        </w:rPr>
        <w:t>,</w:t>
      </w:r>
      <w:r w:rsidR="00316E5D" w:rsidRPr="004E2E14">
        <w:rPr>
          <w:rFonts w:ascii="Times New Roman" w:hAnsi="Times New Roman" w:cs="Times New Roman"/>
          <w:sz w:val="24"/>
          <w:szCs w:val="24"/>
        </w:rPr>
        <w:t xml:space="preserve"> and </w:t>
      </w:r>
      <w:r w:rsidR="00ED42B1">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w:t>
      </w:r>
      <w:r w:rsidR="00316E5D" w:rsidRPr="004E2E14">
        <w:rPr>
          <w:rFonts w:ascii="Times New Roman" w:hAnsi="Times New Roman" w:cs="Times New Roman"/>
          <w:sz w:val="24"/>
          <w:szCs w:val="24"/>
        </w:rPr>
        <w:t xml:space="preserve">This is </w:t>
      </w:r>
      <w:r w:rsidR="008335CB" w:rsidRPr="004E2E14">
        <w:rPr>
          <w:rFonts w:ascii="Times New Roman" w:hAnsi="Times New Roman" w:cs="Times New Roman"/>
          <w:sz w:val="24"/>
          <w:szCs w:val="24"/>
        </w:rPr>
        <w:t xml:space="preserve">our </w:t>
      </w:r>
      <w:r w:rsidR="00E37ED6" w:rsidRPr="004E2E14">
        <w:rPr>
          <w:rFonts w:ascii="Times New Roman" w:hAnsi="Times New Roman" w:cs="Times New Roman"/>
          <w:sz w:val="24"/>
          <w:szCs w:val="24"/>
        </w:rPr>
        <w:t>common</w:t>
      </w:r>
      <w:r w:rsidR="008335CB" w:rsidRPr="004E2E14">
        <w:rPr>
          <w:rFonts w:ascii="Times New Roman" w:hAnsi="Times New Roman" w:cs="Times New Roman"/>
          <w:sz w:val="24"/>
          <w:szCs w:val="24"/>
        </w:rPr>
        <w:t xml:space="preserve"> identity and </w:t>
      </w:r>
      <w:r w:rsidR="00316E5D" w:rsidRPr="004E2E14">
        <w:rPr>
          <w:rFonts w:ascii="Times New Roman" w:hAnsi="Times New Roman" w:cs="Times New Roman"/>
          <w:sz w:val="24"/>
          <w:szCs w:val="24"/>
        </w:rPr>
        <w:t xml:space="preserve">the </w:t>
      </w:r>
      <w:r w:rsidR="00112650" w:rsidRPr="004E2E14">
        <w:rPr>
          <w:rFonts w:ascii="Times New Roman" w:hAnsi="Times New Roman" w:cs="Times New Roman"/>
          <w:sz w:val="24"/>
          <w:szCs w:val="24"/>
        </w:rPr>
        <w:t>cornerstone</w:t>
      </w:r>
      <w:r w:rsidR="00316E5D" w:rsidRPr="004E2E14">
        <w:rPr>
          <w:rFonts w:ascii="Times New Roman" w:hAnsi="Times New Roman" w:cs="Times New Roman"/>
          <w:sz w:val="24"/>
          <w:szCs w:val="24"/>
        </w:rPr>
        <w:t xml:space="preserve"> of our society. A </w:t>
      </w:r>
      <w:r w:rsidRPr="004E2E14">
        <w:rPr>
          <w:rFonts w:ascii="Times New Roman" w:hAnsi="Times New Roman" w:cs="Times New Roman"/>
          <w:sz w:val="24"/>
          <w:szCs w:val="24"/>
        </w:rPr>
        <w:t>society in which pluralism, non-discrimination, tolerance, justice, solidarity</w:t>
      </w:r>
      <w:r w:rsidR="00ED42B1">
        <w:rPr>
          <w:rFonts w:ascii="Times New Roman" w:hAnsi="Times New Roman" w:cs="Times New Roman"/>
          <w:sz w:val="24"/>
          <w:szCs w:val="24"/>
        </w:rPr>
        <w:t>,</w:t>
      </w:r>
      <w:r w:rsidRPr="004E2E14">
        <w:rPr>
          <w:rFonts w:ascii="Times New Roman" w:hAnsi="Times New Roman" w:cs="Times New Roman"/>
          <w:sz w:val="24"/>
          <w:szCs w:val="24"/>
        </w:rPr>
        <w:t xml:space="preserve"> and equality between women and men </w:t>
      </w:r>
      <w:r w:rsidR="008335CB" w:rsidRPr="004E2E14">
        <w:rPr>
          <w:rFonts w:ascii="Times New Roman" w:hAnsi="Times New Roman" w:cs="Times New Roman"/>
          <w:sz w:val="24"/>
          <w:szCs w:val="24"/>
        </w:rPr>
        <w:lastRenderedPageBreak/>
        <w:t xml:space="preserve">should </w:t>
      </w:r>
      <w:r w:rsidRPr="004E2E14">
        <w:rPr>
          <w:rFonts w:ascii="Times New Roman" w:hAnsi="Times New Roman" w:cs="Times New Roman"/>
          <w:sz w:val="24"/>
          <w:szCs w:val="24"/>
        </w:rPr>
        <w:t>prevail</w:t>
      </w:r>
      <w:r w:rsidR="00551A11" w:rsidRPr="004E2E14">
        <w:rPr>
          <w:rFonts w:ascii="Times New Roman" w:hAnsi="Times New Roman" w:cs="Times New Roman"/>
          <w:sz w:val="24"/>
          <w:szCs w:val="24"/>
        </w:rPr>
        <w:t xml:space="preserve">, as the same provision makes </w:t>
      </w:r>
      <w:r w:rsidR="006B5BC3" w:rsidRPr="004E2E14">
        <w:rPr>
          <w:rFonts w:ascii="Times New Roman" w:hAnsi="Times New Roman" w:cs="Times New Roman"/>
          <w:sz w:val="24"/>
          <w:szCs w:val="24"/>
        </w:rPr>
        <w:t xml:space="preserve">it </w:t>
      </w:r>
      <w:r w:rsidR="00551A11" w:rsidRPr="004E2E14">
        <w:rPr>
          <w:rFonts w:ascii="Times New Roman" w:hAnsi="Times New Roman" w:cs="Times New Roman"/>
          <w:sz w:val="24"/>
          <w:szCs w:val="24"/>
        </w:rPr>
        <w:t>clear</w:t>
      </w:r>
      <w:r w:rsidRPr="004E2E14">
        <w:rPr>
          <w:rFonts w:ascii="Times New Roman" w:hAnsi="Times New Roman" w:cs="Times New Roman"/>
          <w:sz w:val="24"/>
          <w:szCs w:val="24"/>
        </w:rPr>
        <w:t>.</w:t>
      </w:r>
      <w:r w:rsidR="00EC3058" w:rsidRPr="004E2E14">
        <w:rPr>
          <w:rStyle w:val="Refdenotaalpie"/>
          <w:rFonts w:ascii="Times New Roman" w:hAnsi="Times New Roman" w:cs="Times New Roman"/>
          <w:sz w:val="24"/>
          <w:szCs w:val="24"/>
        </w:rPr>
        <w:footnoteReference w:id="3"/>
      </w:r>
      <w:r w:rsidR="00D41C11" w:rsidRPr="004E2E14">
        <w:rPr>
          <w:rFonts w:ascii="Times New Roman" w:hAnsi="Times New Roman" w:cs="Times New Roman"/>
          <w:sz w:val="24"/>
          <w:szCs w:val="24"/>
        </w:rPr>
        <w:t xml:space="preserve"> Ursula von der Leyen refers to a “community of values and laws</w:t>
      </w:r>
      <w:r w:rsidR="004E6C8E" w:rsidRPr="004E2E14">
        <w:rPr>
          <w:rFonts w:ascii="Times New Roman" w:hAnsi="Times New Roman" w:cs="Times New Roman"/>
          <w:sz w:val="24"/>
          <w:szCs w:val="24"/>
        </w:rPr>
        <w:t>.”</w:t>
      </w:r>
      <w:r w:rsidR="00D41C11" w:rsidRPr="004E2E14">
        <w:rPr>
          <w:rStyle w:val="Refdenotaalpie"/>
          <w:rFonts w:ascii="Times New Roman" w:hAnsi="Times New Roman" w:cs="Times New Roman"/>
          <w:sz w:val="24"/>
          <w:szCs w:val="24"/>
        </w:rPr>
        <w:footnoteReference w:id="4"/>
      </w:r>
      <w:r w:rsidR="004479B0" w:rsidRPr="004E2E14">
        <w:rPr>
          <w:rFonts w:ascii="Times New Roman" w:hAnsi="Times New Roman" w:cs="Times New Roman"/>
          <w:sz w:val="24"/>
          <w:szCs w:val="24"/>
        </w:rPr>
        <w:t xml:space="preserve"> </w:t>
      </w:r>
    </w:p>
    <w:p w14:paraId="69908678" w14:textId="0A2DED9F" w:rsidR="005224FE" w:rsidRPr="004E2E14" w:rsidRDefault="002E2DEE"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Although the Treaties do not include a provision offering a definition, t</w:t>
      </w:r>
      <w:r w:rsidR="000459AA" w:rsidRPr="004E2E14">
        <w:rPr>
          <w:rFonts w:ascii="Times New Roman" w:hAnsi="Times New Roman" w:cs="Times New Roman"/>
          <w:sz w:val="24"/>
          <w:szCs w:val="24"/>
        </w:rPr>
        <w:t xml:space="preserve">he </w:t>
      </w:r>
      <w:r w:rsidR="00062F6C">
        <w:rPr>
          <w:rFonts w:ascii="Times New Roman" w:hAnsi="Times New Roman" w:cs="Times New Roman"/>
          <w:sz w:val="24"/>
          <w:szCs w:val="24"/>
        </w:rPr>
        <w:t>Rule of Law</w:t>
      </w:r>
      <w:r w:rsidR="000459AA" w:rsidRPr="004E2E14">
        <w:rPr>
          <w:rFonts w:ascii="Times New Roman" w:hAnsi="Times New Roman" w:cs="Times New Roman"/>
          <w:sz w:val="24"/>
          <w:szCs w:val="24"/>
        </w:rPr>
        <w:t xml:space="preserve"> is enshrined in Article 2 as one of the founding values of the Union.</w:t>
      </w:r>
      <w:r w:rsidR="00EF0428" w:rsidRPr="004E2E14">
        <w:rPr>
          <w:rFonts w:ascii="Times New Roman" w:hAnsi="Times New Roman" w:cs="Times New Roman"/>
          <w:sz w:val="24"/>
          <w:szCs w:val="24"/>
        </w:rPr>
        <w:t xml:space="preserve"> </w:t>
      </w:r>
      <w:r w:rsidR="000A1179" w:rsidRPr="004E2E14">
        <w:rPr>
          <w:rFonts w:ascii="Times New Roman" w:hAnsi="Times New Roman" w:cs="Times New Roman"/>
          <w:sz w:val="24"/>
          <w:szCs w:val="24"/>
        </w:rPr>
        <w:t xml:space="preserve">«While there is no hierarchy among Union values, respect for the </w:t>
      </w:r>
      <w:r w:rsidR="00062F6C">
        <w:rPr>
          <w:rFonts w:ascii="Times New Roman" w:hAnsi="Times New Roman" w:cs="Times New Roman"/>
          <w:sz w:val="24"/>
          <w:szCs w:val="24"/>
        </w:rPr>
        <w:t>Rule of Law</w:t>
      </w:r>
      <w:r w:rsidR="000A1179" w:rsidRPr="004E2E14">
        <w:rPr>
          <w:rFonts w:ascii="Times New Roman" w:hAnsi="Times New Roman" w:cs="Times New Roman"/>
          <w:sz w:val="24"/>
          <w:szCs w:val="24"/>
        </w:rPr>
        <w:t xml:space="preserve"> is essential for the protection of the other fundamental values on which the Union is founded, such as freedom, democracy, equality</w:t>
      </w:r>
      <w:r w:rsidR="00ED42B1">
        <w:rPr>
          <w:rFonts w:ascii="Times New Roman" w:hAnsi="Times New Roman" w:cs="Times New Roman"/>
          <w:sz w:val="24"/>
          <w:szCs w:val="24"/>
        </w:rPr>
        <w:t>,</w:t>
      </w:r>
      <w:r w:rsidR="000A1179" w:rsidRPr="004E2E14">
        <w:rPr>
          <w:rFonts w:ascii="Times New Roman" w:hAnsi="Times New Roman" w:cs="Times New Roman"/>
          <w:sz w:val="24"/>
          <w:szCs w:val="24"/>
        </w:rPr>
        <w:t xml:space="preserve"> and respect for human rights. Respect for the </w:t>
      </w:r>
      <w:r w:rsidR="00062F6C">
        <w:rPr>
          <w:rFonts w:ascii="Times New Roman" w:hAnsi="Times New Roman" w:cs="Times New Roman"/>
          <w:sz w:val="24"/>
          <w:szCs w:val="24"/>
        </w:rPr>
        <w:t>Rule of Law</w:t>
      </w:r>
      <w:r w:rsidR="000A1179" w:rsidRPr="004E2E14">
        <w:rPr>
          <w:rFonts w:ascii="Times New Roman" w:hAnsi="Times New Roman" w:cs="Times New Roman"/>
          <w:sz w:val="24"/>
          <w:szCs w:val="24"/>
        </w:rPr>
        <w:t xml:space="preserve"> is intrinsically linked to respect for democracy and fundamental rights. There can be no democracy and respect for fundamental rights without respect for the </w:t>
      </w:r>
      <w:r w:rsidR="00062F6C">
        <w:rPr>
          <w:rFonts w:ascii="Times New Roman" w:hAnsi="Times New Roman" w:cs="Times New Roman"/>
          <w:sz w:val="24"/>
          <w:szCs w:val="24"/>
        </w:rPr>
        <w:t>Rule of Law</w:t>
      </w:r>
      <w:r w:rsidR="000A1179" w:rsidRPr="004E2E14">
        <w:rPr>
          <w:rFonts w:ascii="Times New Roman" w:hAnsi="Times New Roman" w:cs="Times New Roman"/>
          <w:sz w:val="24"/>
          <w:szCs w:val="24"/>
        </w:rPr>
        <w:t xml:space="preserve"> and vice </w:t>
      </w:r>
      <w:r w:rsidR="00595D45" w:rsidRPr="004E2E14">
        <w:rPr>
          <w:rFonts w:ascii="Times New Roman" w:hAnsi="Times New Roman" w:cs="Times New Roman"/>
          <w:sz w:val="24"/>
          <w:szCs w:val="24"/>
        </w:rPr>
        <w:t>versa.»</w:t>
      </w:r>
      <w:r w:rsidR="000A1179" w:rsidRPr="004E2E14">
        <w:rPr>
          <w:rStyle w:val="Refdenotaalpie"/>
          <w:rFonts w:ascii="Times New Roman" w:hAnsi="Times New Roman" w:cs="Times New Roman"/>
          <w:sz w:val="24"/>
          <w:szCs w:val="24"/>
        </w:rPr>
        <w:footnoteReference w:id="5"/>
      </w:r>
      <w:r w:rsidR="000A1179" w:rsidRPr="004E2E14">
        <w:rPr>
          <w:rFonts w:ascii="Times New Roman" w:hAnsi="Times New Roman" w:cs="Times New Roman"/>
          <w:sz w:val="24"/>
          <w:szCs w:val="24"/>
        </w:rPr>
        <w:t xml:space="preserve"> </w:t>
      </w:r>
      <w:r w:rsidR="004479B0" w:rsidRPr="004E2E14">
        <w:rPr>
          <w:rFonts w:ascii="Times New Roman" w:hAnsi="Times New Roman" w:cs="Times New Roman"/>
          <w:sz w:val="24"/>
          <w:szCs w:val="24"/>
        </w:rPr>
        <w:t xml:space="preserve">In the words of Koen Lenaerts, president of the </w:t>
      </w:r>
      <w:r w:rsidR="006B5BC3" w:rsidRPr="004E2E14">
        <w:rPr>
          <w:rFonts w:ascii="Times New Roman" w:hAnsi="Times New Roman" w:cs="Times New Roman"/>
          <w:sz w:val="24"/>
          <w:szCs w:val="24"/>
        </w:rPr>
        <w:t xml:space="preserve">Court of Justice of </w:t>
      </w:r>
      <w:r w:rsidR="00ED42B1">
        <w:rPr>
          <w:rFonts w:ascii="Times New Roman" w:hAnsi="Times New Roman" w:cs="Times New Roman"/>
          <w:sz w:val="24"/>
          <w:szCs w:val="24"/>
        </w:rPr>
        <w:t xml:space="preserve">the </w:t>
      </w:r>
      <w:r w:rsidR="006B5BC3" w:rsidRPr="004E2E14">
        <w:rPr>
          <w:rFonts w:ascii="Times New Roman" w:hAnsi="Times New Roman" w:cs="Times New Roman"/>
          <w:sz w:val="24"/>
          <w:szCs w:val="24"/>
        </w:rPr>
        <w:t>European Union (</w:t>
      </w:r>
      <w:r w:rsidR="004479B0" w:rsidRPr="004E2E14">
        <w:rPr>
          <w:rFonts w:ascii="Times New Roman" w:hAnsi="Times New Roman" w:cs="Times New Roman"/>
          <w:sz w:val="24"/>
          <w:szCs w:val="24"/>
        </w:rPr>
        <w:t>CJEU</w:t>
      </w:r>
      <w:r w:rsidR="006B5BC3" w:rsidRPr="004E2E14">
        <w:rPr>
          <w:rFonts w:ascii="Times New Roman" w:hAnsi="Times New Roman" w:cs="Times New Roman"/>
          <w:sz w:val="24"/>
          <w:szCs w:val="24"/>
        </w:rPr>
        <w:t>)</w:t>
      </w:r>
      <w:r w:rsidR="004479B0" w:rsidRPr="004E2E14">
        <w:rPr>
          <w:rFonts w:ascii="Times New Roman" w:hAnsi="Times New Roman" w:cs="Times New Roman"/>
          <w:sz w:val="24"/>
          <w:szCs w:val="24"/>
        </w:rPr>
        <w:t xml:space="preserve">, “integration through the </w:t>
      </w:r>
      <w:r w:rsidR="00062F6C">
        <w:rPr>
          <w:rFonts w:ascii="Times New Roman" w:hAnsi="Times New Roman" w:cs="Times New Roman"/>
          <w:sz w:val="24"/>
          <w:szCs w:val="24"/>
        </w:rPr>
        <w:t>Rule of Law</w:t>
      </w:r>
      <w:r w:rsidR="004479B0" w:rsidRPr="004E2E14">
        <w:rPr>
          <w:rFonts w:ascii="Times New Roman" w:hAnsi="Times New Roman" w:cs="Times New Roman"/>
          <w:sz w:val="24"/>
          <w:szCs w:val="24"/>
        </w:rPr>
        <w:t>” defines what the European Union today stands for</w:t>
      </w:r>
      <w:r w:rsidR="004479B0" w:rsidRPr="004E2E14">
        <w:rPr>
          <w:rStyle w:val="Refdenotaalpie"/>
          <w:rFonts w:ascii="Times New Roman" w:hAnsi="Times New Roman" w:cs="Times New Roman"/>
          <w:sz w:val="24"/>
          <w:szCs w:val="24"/>
        </w:rPr>
        <w:footnoteReference w:id="6"/>
      </w:r>
      <w:r w:rsidR="00AE63E7" w:rsidRPr="004E2E14">
        <w:rPr>
          <w:rFonts w:ascii="Times New Roman" w:hAnsi="Times New Roman" w:cs="Times New Roman"/>
          <w:sz w:val="24"/>
          <w:szCs w:val="24"/>
        </w:rPr>
        <w:t>.</w:t>
      </w:r>
      <w:r w:rsidR="00AE63E7" w:rsidRPr="004E2E14">
        <w:rPr>
          <w:rStyle w:val="Refdenotaalpie"/>
          <w:rFonts w:ascii="Times New Roman" w:hAnsi="Times New Roman" w:cs="Times New Roman"/>
          <w:sz w:val="24"/>
          <w:szCs w:val="24"/>
        </w:rPr>
        <w:footnoteReference w:id="7"/>
      </w:r>
    </w:p>
    <w:p w14:paraId="0FDC3EF1" w14:textId="16551927" w:rsidR="003622E7" w:rsidRPr="004E2E14" w:rsidRDefault="006B5BC3"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According to </w:t>
      </w:r>
      <w:r w:rsidR="00ED42B1">
        <w:rPr>
          <w:rFonts w:ascii="Times New Roman" w:hAnsi="Times New Roman" w:cs="Times New Roman"/>
          <w:sz w:val="24"/>
          <w:szCs w:val="24"/>
        </w:rPr>
        <w:t xml:space="preserve">the </w:t>
      </w:r>
      <w:r w:rsidRPr="004E2E14">
        <w:rPr>
          <w:rFonts w:ascii="Times New Roman" w:hAnsi="Times New Roman" w:cs="Times New Roman"/>
          <w:sz w:val="24"/>
          <w:szCs w:val="24"/>
        </w:rPr>
        <w:t xml:space="preserve">European Commission, </w:t>
      </w:r>
      <w:r w:rsidR="00ED42B1">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001254F5" w:rsidRPr="004E2E14">
        <w:rPr>
          <w:rFonts w:ascii="Times New Roman" w:hAnsi="Times New Roman" w:cs="Times New Roman"/>
          <w:sz w:val="24"/>
          <w:szCs w:val="24"/>
        </w:rPr>
        <w:t xml:space="preserve"> is a well-established principle, well-defined in its core</w:t>
      </w:r>
      <w:r w:rsidR="00B54706" w:rsidRPr="004E2E14">
        <w:rPr>
          <w:rFonts w:ascii="Times New Roman" w:hAnsi="Times New Roman" w:cs="Times New Roman"/>
          <w:sz w:val="24"/>
          <w:szCs w:val="24"/>
        </w:rPr>
        <w:t>, which</w:t>
      </w:r>
      <w:r w:rsidR="001254F5" w:rsidRPr="004E2E14">
        <w:rPr>
          <w:rFonts w:ascii="Times New Roman" w:hAnsi="Times New Roman" w:cs="Times New Roman"/>
          <w:sz w:val="24"/>
          <w:szCs w:val="24"/>
        </w:rPr>
        <w:t xml:space="preserve"> is the same in all </w:t>
      </w:r>
      <w:r w:rsidR="00062F6C">
        <w:rPr>
          <w:rFonts w:ascii="Times New Roman" w:hAnsi="Times New Roman" w:cs="Times New Roman"/>
          <w:sz w:val="24"/>
          <w:szCs w:val="24"/>
        </w:rPr>
        <w:t>Member States</w:t>
      </w:r>
      <w:r w:rsidR="00BC6FFC" w:rsidRPr="004E2E14">
        <w:rPr>
          <w:rFonts w:ascii="Times New Roman" w:hAnsi="Times New Roman" w:cs="Times New Roman"/>
          <w:sz w:val="24"/>
          <w:szCs w:val="24"/>
        </w:rPr>
        <w:t>.</w:t>
      </w:r>
      <w:r w:rsidR="00BC6FFC" w:rsidRPr="004E2E14">
        <w:rPr>
          <w:rStyle w:val="Refdenotaalpie"/>
          <w:rFonts w:ascii="Times New Roman" w:hAnsi="Times New Roman" w:cs="Times New Roman"/>
          <w:sz w:val="24"/>
          <w:szCs w:val="24"/>
        </w:rPr>
        <w:footnoteReference w:id="8"/>
      </w:r>
      <w:r w:rsidR="00BC6FFC" w:rsidRPr="004E2E14">
        <w:rPr>
          <w:rFonts w:ascii="Times New Roman" w:hAnsi="Times New Roman" w:cs="Times New Roman"/>
          <w:sz w:val="24"/>
          <w:szCs w:val="24"/>
        </w:rPr>
        <w:t xml:space="preserve"> U</w:t>
      </w:r>
      <w:r w:rsidR="003B0148" w:rsidRPr="004E2E14">
        <w:rPr>
          <w:rFonts w:ascii="Times New Roman" w:hAnsi="Times New Roman" w:cs="Times New Roman"/>
          <w:sz w:val="24"/>
          <w:szCs w:val="24"/>
        </w:rPr>
        <w:t xml:space="preserve">nder the </w:t>
      </w:r>
      <w:r w:rsidR="00062F6C">
        <w:rPr>
          <w:rFonts w:ascii="Times New Roman" w:hAnsi="Times New Roman" w:cs="Times New Roman"/>
          <w:sz w:val="24"/>
          <w:szCs w:val="24"/>
        </w:rPr>
        <w:t>Rule of Law</w:t>
      </w:r>
      <w:r w:rsidR="003B0148" w:rsidRPr="004E2E14">
        <w:rPr>
          <w:rFonts w:ascii="Times New Roman" w:hAnsi="Times New Roman" w:cs="Times New Roman"/>
          <w:sz w:val="24"/>
          <w:szCs w:val="24"/>
        </w:rPr>
        <w:t>, all public powers</w:t>
      </w:r>
      <w:r w:rsidR="000B5599" w:rsidRPr="004E2E14">
        <w:rPr>
          <w:rFonts w:ascii="Times New Roman" w:hAnsi="Times New Roman" w:cs="Times New Roman"/>
          <w:sz w:val="24"/>
          <w:szCs w:val="24"/>
        </w:rPr>
        <w:t>,</w:t>
      </w:r>
      <w:r w:rsidR="003B0148" w:rsidRPr="004E2E14">
        <w:rPr>
          <w:rFonts w:ascii="Times New Roman" w:hAnsi="Times New Roman" w:cs="Times New Roman"/>
          <w:sz w:val="24"/>
          <w:szCs w:val="24"/>
        </w:rPr>
        <w:t xml:space="preserve"> </w:t>
      </w:r>
      <w:r w:rsidR="00122097" w:rsidRPr="004E2E14">
        <w:rPr>
          <w:rFonts w:ascii="Times New Roman" w:hAnsi="Times New Roman" w:cs="Times New Roman"/>
          <w:sz w:val="24"/>
          <w:szCs w:val="24"/>
        </w:rPr>
        <w:t xml:space="preserve">and </w:t>
      </w:r>
      <w:r w:rsidR="003A5CB4">
        <w:rPr>
          <w:rFonts w:ascii="Times New Roman" w:hAnsi="Times New Roman" w:cs="Times New Roman"/>
          <w:sz w:val="24"/>
          <w:szCs w:val="24"/>
        </w:rPr>
        <w:t>their</w:t>
      </w:r>
      <w:r w:rsidR="00122097" w:rsidRPr="004E2E14">
        <w:rPr>
          <w:rFonts w:ascii="Times New Roman" w:hAnsi="Times New Roman" w:cs="Times New Roman"/>
          <w:sz w:val="24"/>
          <w:szCs w:val="24"/>
        </w:rPr>
        <w:t xml:space="preserve"> officials and agents</w:t>
      </w:r>
      <w:r w:rsidR="000B5599" w:rsidRPr="004E2E14">
        <w:rPr>
          <w:rFonts w:ascii="Times New Roman" w:hAnsi="Times New Roman" w:cs="Times New Roman"/>
          <w:sz w:val="24"/>
          <w:szCs w:val="24"/>
        </w:rPr>
        <w:t xml:space="preserve">, </w:t>
      </w:r>
      <w:r w:rsidR="00062F6C">
        <w:rPr>
          <w:rFonts w:ascii="Times New Roman" w:hAnsi="Times New Roman" w:cs="Times New Roman"/>
          <w:sz w:val="24"/>
          <w:szCs w:val="24"/>
        </w:rPr>
        <w:t xml:space="preserve">should </w:t>
      </w:r>
      <w:r w:rsidR="000B5599" w:rsidRPr="004E2E14">
        <w:rPr>
          <w:rFonts w:ascii="Times New Roman" w:hAnsi="Times New Roman" w:cs="Times New Roman"/>
          <w:sz w:val="24"/>
          <w:szCs w:val="24"/>
        </w:rPr>
        <w:t>always</w:t>
      </w:r>
      <w:r w:rsidR="00122097" w:rsidRPr="004E2E14">
        <w:rPr>
          <w:rFonts w:ascii="Times New Roman" w:hAnsi="Times New Roman" w:cs="Times New Roman"/>
          <w:sz w:val="24"/>
          <w:szCs w:val="24"/>
        </w:rPr>
        <w:t xml:space="preserve"> </w:t>
      </w:r>
      <w:r w:rsidR="003B0148" w:rsidRPr="004E2E14">
        <w:rPr>
          <w:rFonts w:ascii="Times New Roman" w:hAnsi="Times New Roman" w:cs="Times New Roman"/>
          <w:sz w:val="24"/>
          <w:szCs w:val="24"/>
        </w:rPr>
        <w:t xml:space="preserve">act within the constraints set out by law, </w:t>
      </w:r>
      <w:r w:rsidR="00ED42B1">
        <w:rPr>
          <w:rFonts w:ascii="Times New Roman" w:hAnsi="Times New Roman" w:cs="Times New Roman"/>
          <w:sz w:val="24"/>
          <w:szCs w:val="24"/>
        </w:rPr>
        <w:t>under</w:t>
      </w:r>
      <w:r w:rsidR="003B0148" w:rsidRPr="004E2E14">
        <w:rPr>
          <w:rFonts w:ascii="Times New Roman" w:hAnsi="Times New Roman" w:cs="Times New Roman"/>
          <w:sz w:val="24"/>
          <w:szCs w:val="24"/>
        </w:rPr>
        <w:t xml:space="preserve"> the values of democracy and fundamental rights, and under the control of independent and impartial courts.</w:t>
      </w:r>
      <w:r w:rsidR="00BC6FFC" w:rsidRPr="004E2E14">
        <w:rPr>
          <w:rStyle w:val="Refdenotaalpie"/>
          <w:rFonts w:ascii="Times New Roman" w:hAnsi="Times New Roman" w:cs="Times New Roman"/>
          <w:sz w:val="24"/>
          <w:szCs w:val="24"/>
        </w:rPr>
        <w:footnoteReference w:id="9"/>
      </w:r>
      <w:r w:rsidR="003B0148" w:rsidRPr="004E2E14">
        <w:rPr>
          <w:rFonts w:ascii="Times New Roman" w:hAnsi="Times New Roman" w:cs="Times New Roman"/>
          <w:sz w:val="24"/>
          <w:szCs w:val="24"/>
        </w:rPr>
        <w:t xml:space="preserve"> The </w:t>
      </w:r>
      <w:r w:rsidR="00062F6C">
        <w:rPr>
          <w:rFonts w:ascii="Times New Roman" w:hAnsi="Times New Roman" w:cs="Times New Roman"/>
          <w:sz w:val="24"/>
          <w:szCs w:val="24"/>
        </w:rPr>
        <w:t>Rule of Law</w:t>
      </w:r>
      <w:r w:rsidR="003B0148" w:rsidRPr="004E2E14">
        <w:rPr>
          <w:rFonts w:ascii="Times New Roman" w:hAnsi="Times New Roman" w:cs="Times New Roman"/>
          <w:sz w:val="24"/>
          <w:szCs w:val="24"/>
        </w:rPr>
        <w:t xml:space="preserve"> includes, among others, </w:t>
      </w:r>
      <w:r w:rsidR="003B0148" w:rsidRPr="004E2E14">
        <w:rPr>
          <w:rFonts w:ascii="Times New Roman" w:hAnsi="Times New Roman" w:cs="Times New Roman"/>
          <w:sz w:val="24"/>
          <w:szCs w:val="24"/>
        </w:rPr>
        <w:lastRenderedPageBreak/>
        <w:t>principles such as legality</w:t>
      </w:r>
      <w:r w:rsidR="000459AA" w:rsidRPr="004E2E14">
        <w:rPr>
          <w:rStyle w:val="Refdenotaalpie"/>
          <w:rFonts w:ascii="Times New Roman" w:hAnsi="Times New Roman" w:cs="Times New Roman"/>
          <w:sz w:val="24"/>
          <w:szCs w:val="24"/>
        </w:rPr>
        <w:footnoteReference w:id="10"/>
      </w:r>
      <w:r w:rsidR="003B0148" w:rsidRPr="004E2E14">
        <w:rPr>
          <w:rFonts w:ascii="Times New Roman" w:hAnsi="Times New Roman" w:cs="Times New Roman"/>
          <w:sz w:val="24"/>
          <w:szCs w:val="24"/>
        </w:rPr>
        <w:t>; legal certainty</w:t>
      </w:r>
      <w:r w:rsidR="000459AA" w:rsidRPr="004E2E14">
        <w:rPr>
          <w:rStyle w:val="Refdenotaalpie"/>
          <w:rFonts w:ascii="Times New Roman" w:hAnsi="Times New Roman" w:cs="Times New Roman"/>
          <w:sz w:val="24"/>
          <w:szCs w:val="24"/>
        </w:rPr>
        <w:footnoteReference w:id="11"/>
      </w:r>
      <w:r w:rsidR="003B0148" w:rsidRPr="004E2E14">
        <w:rPr>
          <w:rFonts w:ascii="Times New Roman" w:hAnsi="Times New Roman" w:cs="Times New Roman"/>
          <w:sz w:val="24"/>
          <w:szCs w:val="24"/>
        </w:rPr>
        <w:t>; prohibit</w:t>
      </w:r>
      <w:r w:rsidR="00390605" w:rsidRPr="004E2E14">
        <w:rPr>
          <w:rFonts w:ascii="Times New Roman" w:hAnsi="Times New Roman" w:cs="Times New Roman"/>
          <w:sz w:val="24"/>
          <w:szCs w:val="24"/>
        </w:rPr>
        <w:t>ion of</w:t>
      </w:r>
      <w:r w:rsidR="003B0148" w:rsidRPr="004E2E14">
        <w:rPr>
          <w:rFonts w:ascii="Times New Roman" w:hAnsi="Times New Roman" w:cs="Times New Roman"/>
          <w:sz w:val="24"/>
          <w:szCs w:val="24"/>
        </w:rPr>
        <w:t xml:space="preserve"> the arbitrary exercise of executive power</w:t>
      </w:r>
      <w:r w:rsidR="00723B92" w:rsidRPr="004E2E14">
        <w:rPr>
          <w:rStyle w:val="Refdenotaalpie"/>
          <w:rFonts w:ascii="Times New Roman" w:hAnsi="Times New Roman" w:cs="Times New Roman"/>
          <w:sz w:val="24"/>
          <w:szCs w:val="24"/>
        </w:rPr>
        <w:footnoteReference w:id="12"/>
      </w:r>
      <w:r w:rsidR="003B0148" w:rsidRPr="004E2E14">
        <w:rPr>
          <w:rFonts w:ascii="Times New Roman" w:hAnsi="Times New Roman" w:cs="Times New Roman"/>
          <w:sz w:val="24"/>
          <w:szCs w:val="24"/>
        </w:rPr>
        <w:t xml:space="preserve">; </w:t>
      </w:r>
      <w:r w:rsidR="00723B92" w:rsidRPr="004E2E14">
        <w:rPr>
          <w:rFonts w:ascii="Times New Roman" w:hAnsi="Times New Roman" w:cs="Times New Roman"/>
          <w:sz w:val="24"/>
          <w:szCs w:val="24"/>
        </w:rPr>
        <w:t xml:space="preserve">equality before the law; </w:t>
      </w:r>
      <w:r w:rsidR="000B5599" w:rsidRPr="004E2E14">
        <w:rPr>
          <w:rFonts w:ascii="Times New Roman" w:hAnsi="Times New Roman" w:cs="Times New Roman"/>
          <w:sz w:val="24"/>
          <w:szCs w:val="24"/>
        </w:rPr>
        <w:t xml:space="preserve">effective judicial protection by independent and impartial courts; </w:t>
      </w:r>
      <w:r w:rsidR="003B0148" w:rsidRPr="004E2E14">
        <w:rPr>
          <w:rFonts w:ascii="Times New Roman" w:hAnsi="Times New Roman" w:cs="Times New Roman"/>
          <w:sz w:val="24"/>
          <w:szCs w:val="24"/>
        </w:rPr>
        <w:t xml:space="preserve">effective judicial review including respect for fundamental rights; </w:t>
      </w:r>
      <w:r w:rsidR="00723B92" w:rsidRPr="004E2E14">
        <w:rPr>
          <w:rFonts w:ascii="Times New Roman" w:hAnsi="Times New Roman" w:cs="Times New Roman"/>
          <w:sz w:val="24"/>
          <w:szCs w:val="24"/>
        </w:rPr>
        <w:t xml:space="preserve">and the </w:t>
      </w:r>
      <w:r w:rsidR="003B0148" w:rsidRPr="004E2E14">
        <w:rPr>
          <w:rFonts w:ascii="Times New Roman" w:hAnsi="Times New Roman" w:cs="Times New Roman"/>
          <w:sz w:val="24"/>
          <w:szCs w:val="24"/>
        </w:rPr>
        <w:t>separation of powers.</w:t>
      </w:r>
      <w:r w:rsidR="001A17A6" w:rsidRPr="004E2E14">
        <w:rPr>
          <w:rStyle w:val="Refdenotaalpie"/>
          <w:rFonts w:ascii="Times New Roman" w:hAnsi="Times New Roman" w:cs="Times New Roman"/>
          <w:sz w:val="24"/>
          <w:szCs w:val="24"/>
        </w:rPr>
        <w:footnoteReference w:id="13"/>
      </w:r>
      <w:r w:rsidR="001A17A6" w:rsidRPr="004E2E14">
        <w:rPr>
          <w:rFonts w:ascii="Times New Roman" w:hAnsi="Times New Roman" w:cs="Times New Roman"/>
          <w:sz w:val="24"/>
          <w:szCs w:val="24"/>
        </w:rPr>
        <w:t xml:space="preserve"> </w:t>
      </w:r>
      <w:r w:rsidR="00A66ED9" w:rsidRPr="004E2E14">
        <w:rPr>
          <w:rStyle w:val="Refdenotaalpie"/>
          <w:rFonts w:ascii="Times New Roman" w:hAnsi="Times New Roman" w:cs="Times New Roman"/>
          <w:sz w:val="24"/>
          <w:szCs w:val="24"/>
        </w:rPr>
        <w:footnoteReference w:id="14"/>
      </w:r>
      <w:r w:rsidR="00EF0428" w:rsidRPr="004E2E14">
        <w:rPr>
          <w:rFonts w:ascii="Times New Roman" w:hAnsi="Times New Roman" w:cs="Times New Roman"/>
          <w:sz w:val="24"/>
          <w:szCs w:val="24"/>
        </w:rPr>
        <w:t xml:space="preserve"> </w:t>
      </w:r>
    </w:p>
    <w:p w14:paraId="45B0A8DC" w14:textId="06A88AE4" w:rsidR="00606402" w:rsidRPr="004E2E14" w:rsidRDefault="003622E7"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More recently</w:t>
      </w:r>
      <w:r w:rsidR="00563F29" w:rsidRPr="004E2E14">
        <w:rPr>
          <w:rFonts w:ascii="Times New Roman" w:hAnsi="Times New Roman" w:cs="Times New Roman"/>
          <w:sz w:val="24"/>
          <w:szCs w:val="24"/>
        </w:rPr>
        <w:t xml:space="preserve">, </w:t>
      </w:r>
      <w:r w:rsidR="00ED42B1" w:rsidRPr="004E2E14">
        <w:rPr>
          <w:rFonts w:ascii="Times New Roman" w:hAnsi="Times New Roman" w:cs="Times New Roman"/>
          <w:sz w:val="24"/>
          <w:szCs w:val="24"/>
        </w:rPr>
        <w:t>the European</w:t>
      </w:r>
      <w:r w:rsidR="00563F29" w:rsidRPr="004E2E14">
        <w:rPr>
          <w:rFonts w:ascii="Times New Roman" w:hAnsi="Times New Roman" w:cs="Times New Roman"/>
          <w:sz w:val="24"/>
          <w:szCs w:val="24"/>
        </w:rPr>
        <w:t xml:space="preserve"> Parliament and </w:t>
      </w:r>
      <w:r w:rsidR="00062F6C">
        <w:rPr>
          <w:rFonts w:ascii="Times New Roman" w:hAnsi="Times New Roman" w:cs="Times New Roman"/>
          <w:sz w:val="24"/>
          <w:szCs w:val="24"/>
        </w:rPr>
        <w:t xml:space="preserve">the </w:t>
      </w:r>
      <w:r w:rsidR="00563F29" w:rsidRPr="004E2E14">
        <w:rPr>
          <w:rFonts w:ascii="Times New Roman" w:hAnsi="Times New Roman" w:cs="Times New Roman"/>
          <w:sz w:val="24"/>
          <w:szCs w:val="24"/>
        </w:rPr>
        <w:t xml:space="preserve">Council </w:t>
      </w:r>
      <w:r w:rsidR="004E6C8E" w:rsidRPr="004E2E14">
        <w:rPr>
          <w:rFonts w:ascii="Times New Roman" w:hAnsi="Times New Roman" w:cs="Times New Roman"/>
          <w:sz w:val="24"/>
          <w:szCs w:val="24"/>
        </w:rPr>
        <w:t>assumed</w:t>
      </w:r>
      <w:r w:rsidR="00563F29" w:rsidRPr="004E2E14">
        <w:rPr>
          <w:rFonts w:ascii="Times New Roman" w:hAnsi="Times New Roman" w:cs="Times New Roman"/>
          <w:sz w:val="24"/>
          <w:szCs w:val="24"/>
        </w:rPr>
        <w:t xml:space="preserve"> the European Commission's definition and incorporated it into </w:t>
      </w:r>
      <w:r w:rsidRPr="004E2E14">
        <w:rPr>
          <w:rFonts w:ascii="Times New Roman" w:hAnsi="Times New Roman" w:cs="Times New Roman"/>
          <w:sz w:val="24"/>
          <w:szCs w:val="24"/>
        </w:rPr>
        <w:t xml:space="preserve">Regulation 2020/2092: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requires that all public powers act within the constraints set out by la</w:t>
      </w:r>
      <w:r w:rsidR="00563F29" w:rsidRPr="004E2E14">
        <w:rPr>
          <w:rFonts w:ascii="Times New Roman" w:hAnsi="Times New Roman" w:cs="Times New Roman"/>
          <w:sz w:val="24"/>
          <w:szCs w:val="24"/>
        </w:rPr>
        <w:t>w</w:t>
      </w:r>
      <w:r w:rsidRPr="004E2E14">
        <w:rPr>
          <w:rFonts w:ascii="Times New Roman" w:hAnsi="Times New Roman" w:cs="Times New Roman"/>
          <w:sz w:val="24"/>
          <w:szCs w:val="24"/>
        </w:rPr>
        <w:t xml:space="preserve">, </w:t>
      </w:r>
      <w:r w:rsidR="00ED42B1">
        <w:rPr>
          <w:rFonts w:ascii="Times New Roman" w:hAnsi="Times New Roman" w:cs="Times New Roman"/>
          <w:sz w:val="24"/>
          <w:szCs w:val="24"/>
        </w:rPr>
        <w:t>by</w:t>
      </w:r>
      <w:r w:rsidRPr="004E2E14">
        <w:rPr>
          <w:rFonts w:ascii="Times New Roman" w:hAnsi="Times New Roman" w:cs="Times New Roman"/>
          <w:sz w:val="24"/>
          <w:szCs w:val="24"/>
        </w:rPr>
        <w:t xml:space="preserve"> the values of democracy and the respect for fundamental rights, under the control of independent and impartial courts</w:t>
      </w:r>
      <w:r w:rsidR="00563F29" w:rsidRPr="004E2E14">
        <w:rPr>
          <w:rFonts w:ascii="Times New Roman" w:hAnsi="Times New Roman" w:cs="Times New Roman"/>
          <w:sz w:val="24"/>
          <w:szCs w:val="24"/>
        </w:rPr>
        <w:t>»</w:t>
      </w:r>
      <w:r w:rsidRPr="004E2E14">
        <w:rPr>
          <w:rFonts w:ascii="Times New Roman" w:hAnsi="Times New Roman" w:cs="Times New Roman"/>
          <w:sz w:val="24"/>
          <w:szCs w:val="24"/>
        </w:rPr>
        <w:t xml:space="preserve">. </w:t>
      </w:r>
      <w:r w:rsidR="004B4216" w:rsidRPr="004E2E14">
        <w:rPr>
          <w:rFonts w:ascii="Times New Roman" w:hAnsi="Times New Roman" w:cs="Times New Roman"/>
          <w:sz w:val="24"/>
          <w:szCs w:val="24"/>
        </w:rPr>
        <w:t>It includes, as core elements, the principles of legality implying a transparent, accountable</w:t>
      </w:r>
      <w:r w:rsidR="00837E92" w:rsidRPr="004E2E14">
        <w:rPr>
          <w:rFonts w:ascii="Times New Roman" w:hAnsi="Times New Roman" w:cs="Times New Roman"/>
          <w:sz w:val="24"/>
          <w:szCs w:val="24"/>
        </w:rPr>
        <w:t>, democratic and pluralistic law-making procee</w:t>
      </w:r>
      <w:r w:rsidR="008179EF" w:rsidRPr="004E2E14">
        <w:rPr>
          <w:rFonts w:ascii="Times New Roman" w:hAnsi="Times New Roman" w:cs="Times New Roman"/>
          <w:sz w:val="24"/>
          <w:szCs w:val="24"/>
        </w:rPr>
        <w:t>dings</w:t>
      </w:r>
      <w:r w:rsidR="00837E92" w:rsidRPr="004E2E14">
        <w:rPr>
          <w:rFonts w:ascii="Times New Roman" w:hAnsi="Times New Roman" w:cs="Times New Roman"/>
          <w:sz w:val="24"/>
          <w:szCs w:val="24"/>
        </w:rPr>
        <w:t>; legal certainty; prohibition of arbitrariness of the executive powers; effective judicial protection, including access to justice, by independent and impartial courts, also as regards fundamental rights; separation of powers; and non-discrimination and equality before the law.</w:t>
      </w:r>
      <w:r w:rsidR="004B4216" w:rsidRPr="004E2E14">
        <w:rPr>
          <w:rFonts w:ascii="Times New Roman" w:hAnsi="Times New Roman" w:cs="Times New Roman"/>
          <w:sz w:val="24"/>
          <w:szCs w:val="24"/>
        </w:rPr>
        <w:t xml:space="preserve"> </w:t>
      </w:r>
    </w:p>
    <w:p w14:paraId="0F6762A5" w14:textId="5CD2DB31" w:rsidR="003622E7" w:rsidRPr="004E2E14" w:rsidRDefault="00062F6C" w:rsidP="001D12B5">
      <w:pPr>
        <w:spacing w:after="0" w:line="240" w:lineRule="auto"/>
        <w:jc w:val="both"/>
        <w:rPr>
          <w:rFonts w:ascii="Times New Roman" w:hAnsi="Times New Roman" w:cs="Times New Roman"/>
          <w:sz w:val="24"/>
          <w:szCs w:val="24"/>
        </w:rPr>
      </w:pPr>
      <w:r w:rsidRPr="00062F6C">
        <w:rPr>
          <w:rFonts w:ascii="Times New Roman" w:hAnsi="Times New Roman" w:cs="Times New Roman"/>
          <w:sz w:val="24"/>
          <w:szCs w:val="24"/>
        </w:rPr>
        <w:t>Acceptance of this definition was not unanimous</w:t>
      </w:r>
      <w:r>
        <w:rPr>
          <w:rFonts w:ascii="Times New Roman" w:hAnsi="Times New Roman" w:cs="Times New Roman"/>
          <w:sz w:val="24"/>
          <w:szCs w:val="24"/>
        </w:rPr>
        <w:t xml:space="preserve">. </w:t>
      </w:r>
      <w:r w:rsidR="00524DE6" w:rsidRPr="004E2E14">
        <w:rPr>
          <w:rFonts w:ascii="Times New Roman" w:hAnsi="Times New Roman" w:cs="Times New Roman"/>
          <w:sz w:val="24"/>
          <w:szCs w:val="24"/>
        </w:rPr>
        <w:t xml:space="preserve">The governments of Poland and Hungary particularly contested </w:t>
      </w:r>
      <w:r>
        <w:rPr>
          <w:rFonts w:ascii="Times New Roman" w:hAnsi="Times New Roman" w:cs="Times New Roman"/>
          <w:sz w:val="24"/>
          <w:szCs w:val="24"/>
        </w:rPr>
        <w:t>it</w:t>
      </w:r>
      <w:r w:rsidR="003622E7" w:rsidRPr="004E2E14">
        <w:rPr>
          <w:rFonts w:ascii="Times New Roman" w:hAnsi="Times New Roman" w:cs="Times New Roman"/>
          <w:sz w:val="24"/>
          <w:szCs w:val="24"/>
        </w:rPr>
        <w:t xml:space="preserve">. The former </w:t>
      </w:r>
      <w:r w:rsidR="00DA44FD">
        <w:rPr>
          <w:rFonts w:ascii="Times New Roman" w:hAnsi="Times New Roman" w:cs="Times New Roman"/>
          <w:sz w:val="24"/>
          <w:szCs w:val="24"/>
        </w:rPr>
        <w:t>argued that</w:t>
      </w:r>
      <w:r w:rsidR="003622E7" w:rsidRPr="004E2E14">
        <w:rPr>
          <w:rFonts w:ascii="Times New Roman" w:hAnsi="Times New Roman" w:cs="Times New Roman"/>
          <w:sz w:val="24"/>
          <w:szCs w:val="24"/>
        </w:rPr>
        <w:t xml:space="preserve"> the </w:t>
      </w:r>
      <w:r>
        <w:rPr>
          <w:rFonts w:ascii="Times New Roman" w:hAnsi="Times New Roman" w:cs="Times New Roman"/>
          <w:sz w:val="24"/>
          <w:szCs w:val="24"/>
        </w:rPr>
        <w:t>Rule of Law</w:t>
      </w:r>
      <w:r w:rsidR="003622E7" w:rsidRPr="004E2E14">
        <w:rPr>
          <w:rFonts w:ascii="Times New Roman" w:hAnsi="Times New Roman" w:cs="Times New Roman"/>
          <w:sz w:val="24"/>
          <w:szCs w:val="24"/>
        </w:rPr>
        <w:t xml:space="preserve"> cannot be defined through </w:t>
      </w:r>
      <w:r w:rsidR="00ED42B1" w:rsidRPr="004E2E14">
        <w:rPr>
          <w:rFonts w:ascii="Times New Roman" w:hAnsi="Times New Roman" w:cs="Times New Roman"/>
          <w:sz w:val="24"/>
          <w:szCs w:val="24"/>
        </w:rPr>
        <w:t>budgetary</w:t>
      </w:r>
      <w:r w:rsidR="003622E7" w:rsidRPr="004E2E14">
        <w:rPr>
          <w:rFonts w:ascii="Times New Roman" w:hAnsi="Times New Roman" w:cs="Times New Roman"/>
          <w:sz w:val="24"/>
          <w:szCs w:val="24"/>
        </w:rPr>
        <w:t xml:space="preserve"> regulation, and the latter </w:t>
      </w:r>
      <w:r w:rsidR="00DA44FD">
        <w:rPr>
          <w:rFonts w:ascii="Times New Roman" w:hAnsi="Times New Roman" w:cs="Times New Roman"/>
          <w:sz w:val="24"/>
          <w:szCs w:val="24"/>
        </w:rPr>
        <w:t>defended</w:t>
      </w:r>
      <w:r w:rsidR="003622E7" w:rsidRPr="004E2E14">
        <w:rPr>
          <w:rFonts w:ascii="Times New Roman" w:hAnsi="Times New Roman" w:cs="Times New Roman"/>
          <w:sz w:val="24"/>
          <w:szCs w:val="24"/>
        </w:rPr>
        <w:t xml:space="preserve"> </w:t>
      </w:r>
      <w:r w:rsidR="00A94656">
        <w:rPr>
          <w:rFonts w:ascii="Times New Roman" w:hAnsi="Times New Roman" w:cs="Times New Roman"/>
          <w:sz w:val="24"/>
          <w:szCs w:val="24"/>
        </w:rPr>
        <w:t xml:space="preserve">that </w:t>
      </w:r>
      <w:r w:rsidR="003622E7" w:rsidRPr="004E2E14">
        <w:rPr>
          <w:rFonts w:ascii="Times New Roman" w:hAnsi="Times New Roman" w:cs="Times New Roman"/>
          <w:sz w:val="24"/>
          <w:szCs w:val="24"/>
        </w:rPr>
        <w:t xml:space="preserve">the </w:t>
      </w:r>
      <w:r>
        <w:rPr>
          <w:rFonts w:ascii="Times New Roman" w:hAnsi="Times New Roman" w:cs="Times New Roman"/>
          <w:sz w:val="24"/>
          <w:szCs w:val="24"/>
        </w:rPr>
        <w:t>Rule of Law</w:t>
      </w:r>
      <w:r w:rsidR="003622E7" w:rsidRPr="004E2E14">
        <w:rPr>
          <w:rFonts w:ascii="Times New Roman" w:hAnsi="Times New Roman" w:cs="Times New Roman"/>
          <w:sz w:val="24"/>
          <w:szCs w:val="24"/>
        </w:rPr>
        <w:t xml:space="preserve"> is a concept to be defined by each Member State's legal system.</w:t>
      </w:r>
      <w:r w:rsidR="00DB2048" w:rsidRPr="004E2E14">
        <w:rPr>
          <w:rFonts w:ascii="Times New Roman" w:hAnsi="Times New Roman" w:cs="Times New Roman"/>
          <w:sz w:val="24"/>
          <w:szCs w:val="24"/>
        </w:rPr>
        <w:t xml:space="preserve"> Both governments challenged the legality of Regulation 2020/2092.</w:t>
      </w:r>
      <w:r w:rsidR="00DB2048" w:rsidRPr="004E2E14">
        <w:rPr>
          <w:rStyle w:val="Refdenotaalpie"/>
          <w:rFonts w:ascii="Times New Roman" w:hAnsi="Times New Roman" w:cs="Times New Roman"/>
          <w:sz w:val="24"/>
          <w:szCs w:val="24"/>
        </w:rPr>
        <w:footnoteReference w:id="15"/>
      </w:r>
    </w:p>
    <w:p w14:paraId="10470DA9" w14:textId="292AFF40" w:rsidR="00EE6817" w:rsidRPr="004E2E14" w:rsidRDefault="00062F6C"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Rule of Law</w:t>
      </w:r>
      <w:r w:rsidR="00EE6817" w:rsidRPr="004E2E14">
        <w:rPr>
          <w:rFonts w:ascii="Times New Roman" w:hAnsi="Times New Roman" w:cs="Times New Roman"/>
          <w:sz w:val="24"/>
          <w:szCs w:val="24"/>
        </w:rPr>
        <w:t xml:space="preserve"> principles have been codified mostly in primary law, particularly in the Treaty on European Union and in the Charter of Fundamental Rights (Charter), to which </w:t>
      </w:r>
      <w:r>
        <w:rPr>
          <w:rFonts w:ascii="Times New Roman" w:hAnsi="Times New Roman" w:cs="Times New Roman"/>
          <w:sz w:val="24"/>
          <w:szCs w:val="24"/>
        </w:rPr>
        <w:t>Member States</w:t>
      </w:r>
      <w:r w:rsidR="00EE6817" w:rsidRPr="004E2E14">
        <w:rPr>
          <w:rFonts w:ascii="Times New Roman" w:hAnsi="Times New Roman" w:cs="Times New Roman"/>
          <w:sz w:val="24"/>
          <w:szCs w:val="24"/>
        </w:rPr>
        <w:t xml:space="preserve"> are attached, </w:t>
      </w:r>
      <w:r w:rsidR="00EE6817" w:rsidRPr="004E2E14">
        <w:rPr>
          <w:rFonts w:ascii="Times New Roman" w:hAnsi="Times New Roman" w:cs="Times New Roman"/>
          <w:sz w:val="24"/>
          <w:szCs w:val="24"/>
          <w:shd w:val="clear" w:color="auto" w:fill="FFFFFF"/>
        </w:rPr>
        <w:t xml:space="preserve">voluntarily and democratically, </w:t>
      </w:r>
      <w:r w:rsidR="00EE6817" w:rsidRPr="004E2E14">
        <w:rPr>
          <w:rFonts w:ascii="Times New Roman" w:hAnsi="Times New Roman" w:cs="Times New Roman"/>
          <w:sz w:val="24"/>
          <w:szCs w:val="24"/>
        </w:rPr>
        <w:t>since they became members of the EU</w:t>
      </w:r>
      <w:r w:rsidR="008335CB" w:rsidRPr="004E2E14">
        <w:rPr>
          <w:rFonts w:ascii="Times New Roman" w:hAnsi="Times New Roman" w:cs="Times New Roman"/>
          <w:sz w:val="24"/>
          <w:szCs w:val="24"/>
        </w:rPr>
        <w:t>, and are strongly supported by citizens in every Member Stat</w:t>
      </w:r>
      <w:r w:rsidR="000A1179" w:rsidRPr="004E2E14">
        <w:rPr>
          <w:rFonts w:ascii="Times New Roman" w:hAnsi="Times New Roman" w:cs="Times New Roman"/>
          <w:sz w:val="24"/>
          <w:szCs w:val="24"/>
        </w:rPr>
        <w:t>e</w:t>
      </w:r>
      <w:r w:rsidR="00FD012C" w:rsidRPr="004E2E14">
        <w:rPr>
          <w:rStyle w:val="Refdenotaalpie"/>
          <w:rFonts w:ascii="Times New Roman" w:hAnsi="Times New Roman" w:cs="Times New Roman"/>
          <w:sz w:val="24"/>
          <w:szCs w:val="24"/>
        </w:rPr>
        <w:footnoteReference w:id="16"/>
      </w:r>
      <w:r w:rsidR="008335CB" w:rsidRPr="004E2E14">
        <w:rPr>
          <w:rFonts w:ascii="Times New Roman" w:hAnsi="Times New Roman" w:cs="Times New Roman"/>
          <w:sz w:val="24"/>
          <w:szCs w:val="24"/>
        </w:rPr>
        <w:t>.</w:t>
      </w:r>
      <w:r w:rsidR="00F12C49" w:rsidRPr="004E2E14">
        <w:rPr>
          <w:rFonts w:ascii="Times New Roman" w:hAnsi="Times New Roman" w:cs="Times New Roman"/>
          <w:sz w:val="24"/>
          <w:szCs w:val="24"/>
        </w:rPr>
        <w:t xml:space="preserve"> </w:t>
      </w:r>
      <w:r w:rsidR="000A1179" w:rsidRPr="004E2E14">
        <w:rPr>
          <w:rFonts w:ascii="Times New Roman" w:hAnsi="Times New Roman" w:cs="Times New Roman"/>
          <w:sz w:val="24"/>
          <w:szCs w:val="24"/>
        </w:rPr>
        <w:t>The</w:t>
      </w:r>
      <w:r w:rsidR="00DA44FD">
        <w:rPr>
          <w:rFonts w:ascii="Times New Roman" w:hAnsi="Times New Roman" w:cs="Times New Roman"/>
          <w:sz w:val="24"/>
          <w:szCs w:val="24"/>
        </w:rPr>
        <w:t xml:space="preserve"> CJEU</w:t>
      </w:r>
      <w:r w:rsidR="000A1179" w:rsidRPr="004E2E14">
        <w:rPr>
          <w:rFonts w:ascii="Times New Roman" w:hAnsi="Times New Roman" w:cs="Times New Roman"/>
          <w:sz w:val="24"/>
          <w:szCs w:val="24"/>
        </w:rPr>
        <w:t xml:space="preserve">, through its </w:t>
      </w:r>
      <w:r w:rsidR="007B2C1B" w:rsidRPr="004E2E14">
        <w:rPr>
          <w:rFonts w:ascii="Times New Roman" w:hAnsi="Times New Roman" w:cs="Times New Roman"/>
          <w:sz w:val="24"/>
          <w:szCs w:val="24"/>
        </w:rPr>
        <w:t>case law</w:t>
      </w:r>
      <w:r w:rsidR="000A1179" w:rsidRPr="004E2E14">
        <w:rPr>
          <w:rFonts w:ascii="Times New Roman" w:hAnsi="Times New Roman" w:cs="Times New Roman"/>
          <w:sz w:val="24"/>
          <w:szCs w:val="24"/>
        </w:rPr>
        <w:t>, has played a predominant role in clarifying and developing th</w:t>
      </w:r>
      <w:r w:rsidR="00FD012C" w:rsidRPr="004E2E14">
        <w:rPr>
          <w:rFonts w:ascii="Times New Roman" w:hAnsi="Times New Roman" w:cs="Times New Roman"/>
          <w:sz w:val="24"/>
          <w:szCs w:val="24"/>
        </w:rPr>
        <w:t>o</w:t>
      </w:r>
      <w:r w:rsidR="000A1179" w:rsidRPr="004E2E14">
        <w:rPr>
          <w:rFonts w:ascii="Times New Roman" w:hAnsi="Times New Roman" w:cs="Times New Roman"/>
          <w:sz w:val="24"/>
          <w:szCs w:val="24"/>
        </w:rPr>
        <w:t>se principles.</w:t>
      </w:r>
    </w:p>
    <w:p w14:paraId="7102B783" w14:textId="10E3C39F" w:rsidR="00EE6817" w:rsidRPr="004E2E14" w:rsidRDefault="00EE6817" w:rsidP="001D12B5">
      <w:pPr>
        <w:spacing w:after="0" w:line="240" w:lineRule="auto"/>
        <w:jc w:val="both"/>
        <w:rPr>
          <w:rFonts w:ascii="Times New Roman" w:hAnsi="Times New Roman" w:cs="Times New Roman"/>
          <w:sz w:val="24"/>
          <w:szCs w:val="24"/>
        </w:rPr>
      </w:pPr>
    </w:p>
    <w:p w14:paraId="32718C00" w14:textId="6EE3443B" w:rsidR="00EE6817" w:rsidRPr="00425FC8" w:rsidRDefault="00062F6C" w:rsidP="001D12B5">
      <w:pPr>
        <w:pStyle w:val="Prrafodelista"/>
        <w:numPr>
          <w:ilvl w:val="0"/>
          <w:numId w:val="25"/>
        </w:numPr>
        <w:spacing w:line="240" w:lineRule="auto"/>
        <w:ind w:left="0" w:firstLine="0"/>
        <w:jc w:val="both"/>
        <w:rPr>
          <w:rFonts w:ascii="Times New Roman" w:hAnsi="Times New Roman" w:cs="Times New Roman"/>
          <w:b/>
          <w:bCs/>
          <w:sz w:val="24"/>
          <w:szCs w:val="24"/>
        </w:rPr>
      </w:pPr>
      <w:r w:rsidRPr="00425FC8">
        <w:rPr>
          <w:rFonts w:ascii="Times New Roman" w:hAnsi="Times New Roman" w:cs="Times New Roman"/>
          <w:b/>
          <w:bCs/>
          <w:sz w:val="24"/>
          <w:szCs w:val="24"/>
        </w:rPr>
        <w:t>Rule of Law</w:t>
      </w:r>
      <w:r w:rsidR="00EE6817" w:rsidRPr="00425FC8">
        <w:rPr>
          <w:rFonts w:ascii="Times New Roman" w:hAnsi="Times New Roman" w:cs="Times New Roman"/>
          <w:b/>
          <w:bCs/>
          <w:sz w:val="24"/>
          <w:szCs w:val="24"/>
        </w:rPr>
        <w:t xml:space="preserve"> and </w:t>
      </w:r>
      <w:r w:rsidR="00DA44FD" w:rsidRPr="00425FC8">
        <w:rPr>
          <w:rFonts w:ascii="Times New Roman" w:hAnsi="Times New Roman" w:cs="Times New Roman"/>
          <w:b/>
          <w:bCs/>
          <w:sz w:val="24"/>
          <w:szCs w:val="24"/>
        </w:rPr>
        <w:t>J</w:t>
      </w:r>
      <w:r w:rsidR="00EE6817" w:rsidRPr="00425FC8">
        <w:rPr>
          <w:rFonts w:ascii="Times New Roman" w:hAnsi="Times New Roman" w:cs="Times New Roman"/>
          <w:b/>
          <w:bCs/>
          <w:sz w:val="24"/>
          <w:szCs w:val="24"/>
        </w:rPr>
        <w:t xml:space="preserve">udicial </w:t>
      </w:r>
      <w:r w:rsidR="00DA44FD" w:rsidRPr="00425FC8">
        <w:rPr>
          <w:rFonts w:ascii="Times New Roman" w:hAnsi="Times New Roman" w:cs="Times New Roman"/>
          <w:b/>
          <w:bCs/>
          <w:sz w:val="24"/>
          <w:szCs w:val="24"/>
        </w:rPr>
        <w:t>I</w:t>
      </w:r>
      <w:r w:rsidR="00EE6817" w:rsidRPr="00425FC8">
        <w:rPr>
          <w:rFonts w:ascii="Times New Roman" w:hAnsi="Times New Roman" w:cs="Times New Roman"/>
          <w:b/>
          <w:bCs/>
          <w:sz w:val="24"/>
          <w:szCs w:val="24"/>
        </w:rPr>
        <w:t>ndependence</w:t>
      </w:r>
    </w:p>
    <w:p w14:paraId="230DC83E" w14:textId="1C7EBFB0" w:rsidR="0058057A" w:rsidRPr="004E2E14" w:rsidRDefault="00426976"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lastRenderedPageBreak/>
        <w:t xml:space="preserve">The concept of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which is key to </w:t>
      </w:r>
      <w:r w:rsidR="00ED42B1">
        <w:rPr>
          <w:rFonts w:ascii="Times New Roman" w:hAnsi="Times New Roman" w:cs="Times New Roman"/>
          <w:sz w:val="24"/>
          <w:szCs w:val="24"/>
        </w:rPr>
        <w:t>Western</w:t>
      </w:r>
      <w:r w:rsidRPr="004E2E14">
        <w:rPr>
          <w:rFonts w:ascii="Times New Roman" w:hAnsi="Times New Roman" w:cs="Times New Roman"/>
          <w:sz w:val="24"/>
          <w:szCs w:val="24"/>
        </w:rPr>
        <w:t xml:space="preserve"> understanding of liberal democracy</w:t>
      </w:r>
      <w:r w:rsidR="005B6E06" w:rsidRPr="004E2E14">
        <w:rPr>
          <w:rFonts w:ascii="Times New Roman" w:hAnsi="Times New Roman" w:cs="Times New Roman"/>
          <w:sz w:val="24"/>
          <w:szCs w:val="24"/>
        </w:rPr>
        <w:t>,</w:t>
      </w:r>
      <w:r w:rsidR="00F43740" w:rsidRPr="004E2E14">
        <w:rPr>
          <w:rFonts w:ascii="Times New Roman" w:hAnsi="Times New Roman" w:cs="Times New Roman"/>
          <w:sz w:val="24"/>
          <w:szCs w:val="24"/>
        </w:rPr>
        <w:t xml:space="preserve"> entails several elements</w:t>
      </w:r>
      <w:r w:rsidR="00F43740" w:rsidRPr="004E2E14">
        <w:rPr>
          <w:rStyle w:val="Refdenotaalpie"/>
          <w:rFonts w:ascii="Times New Roman" w:hAnsi="Times New Roman" w:cs="Times New Roman"/>
          <w:sz w:val="24"/>
          <w:szCs w:val="24"/>
        </w:rPr>
        <w:footnoteReference w:id="17"/>
      </w:r>
      <w:r w:rsidR="00F43740" w:rsidRPr="004E2E14">
        <w:rPr>
          <w:rFonts w:ascii="Times New Roman" w:hAnsi="Times New Roman" w:cs="Times New Roman"/>
          <w:sz w:val="24"/>
          <w:szCs w:val="24"/>
        </w:rPr>
        <w:t>, including the judicial review of legislative and executive action to ensure the principles of primacy of the constitution and legality.</w:t>
      </w:r>
      <w:r w:rsidR="00487E4B" w:rsidRPr="004E2E14">
        <w:rPr>
          <w:rStyle w:val="Refdenotaalpie"/>
          <w:rFonts w:ascii="Times New Roman" w:hAnsi="Times New Roman" w:cs="Times New Roman"/>
          <w:sz w:val="24"/>
          <w:szCs w:val="24"/>
        </w:rPr>
        <w:footnoteReference w:id="18"/>
      </w:r>
    </w:p>
    <w:p w14:paraId="5328281E" w14:textId="00628B0C" w:rsidR="00426976" w:rsidRPr="004E2E14" w:rsidRDefault="00F43740"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The C</w:t>
      </w:r>
      <w:r w:rsidR="003F0F50">
        <w:rPr>
          <w:rFonts w:ascii="Times New Roman" w:hAnsi="Times New Roman" w:cs="Times New Roman"/>
          <w:sz w:val="24"/>
          <w:szCs w:val="24"/>
        </w:rPr>
        <w:t>JEU</w:t>
      </w:r>
      <w:r w:rsidR="00EE33C2" w:rsidRPr="004E2E14">
        <w:rPr>
          <w:rFonts w:ascii="Times New Roman" w:hAnsi="Times New Roman" w:cs="Times New Roman"/>
          <w:sz w:val="24"/>
          <w:szCs w:val="24"/>
        </w:rPr>
        <w:t xml:space="preserve">, based on </w:t>
      </w:r>
      <w:r w:rsidR="00C4175B">
        <w:rPr>
          <w:rFonts w:ascii="Times New Roman" w:hAnsi="Times New Roman" w:cs="Times New Roman"/>
          <w:sz w:val="24"/>
          <w:szCs w:val="24"/>
        </w:rPr>
        <w:t>A</w:t>
      </w:r>
      <w:r w:rsidR="00EE33C2" w:rsidRPr="004E2E14">
        <w:rPr>
          <w:rFonts w:ascii="Times New Roman" w:hAnsi="Times New Roman" w:cs="Times New Roman"/>
          <w:sz w:val="24"/>
          <w:szCs w:val="24"/>
        </w:rPr>
        <w:t>rticle 19</w:t>
      </w:r>
      <w:r w:rsidR="00C4175B">
        <w:rPr>
          <w:rFonts w:ascii="Times New Roman" w:hAnsi="Times New Roman" w:cs="Times New Roman"/>
          <w:sz w:val="24"/>
          <w:szCs w:val="24"/>
        </w:rPr>
        <w:t xml:space="preserve"> (</w:t>
      </w:r>
      <w:r w:rsidR="00EE33C2" w:rsidRPr="004E2E14">
        <w:rPr>
          <w:rFonts w:ascii="Times New Roman" w:hAnsi="Times New Roman" w:cs="Times New Roman"/>
          <w:sz w:val="24"/>
          <w:szCs w:val="24"/>
        </w:rPr>
        <w:t>1</w:t>
      </w:r>
      <w:r w:rsidR="00380597">
        <w:rPr>
          <w:rFonts w:ascii="Times New Roman" w:hAnsi="Times New Roman" w:cs="Times New Roman"/>
          <w:sz w:val="24"/>
          <w:szCs w:val="24"/>
        </w:rPr>
        <w:t>)</w:t>
      </w:r>
      <w:r w:rsidR="00EE33C2" w:rsidRPr="004E2E14">
        <w:rPr>
          <w:rFonts w:ascii="Times New Roman" w:hAnsi="Times New Roman" w:cs="Times New Roman"/>
          <w:sz w:val="24"/>
          <w:szCs w:val="24"/>
        </w:rPr>
        <w:t xml:space="preserve"> TEU,</w:t>
      </w:r>
      <w:r w:rsidRPr="004E2E14">
        <w:rPr>
          <w:rFonts w:ascii="Times New Roman" w:hAnsi="Times New Roman" w:cs="Times New Roman"/>
          <w:sz w:val="24"/>
          <w:szCs w:val="24"/>
        </w:rPr>
        <w:t xml:space="preserve"> has ruled that, the European Union «is a union based on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in which individual parties have the right to challenge before the courts the legality of any decision or other national measure relating to the application to them of an EU act».</w:t>
      </w:r>
      <w:r w:rsidRPr="004E2E14">
        <w:rPr>
          <w:rStyle w:val="Refdenotaalpie"/>
          <w:rFonts w:ascii="Times New Roman" w:hAnsi="Times New Roman" w:cs="Times New Roman"/>
          <w:sz w:val="24"/>
          <w:szCs w:val="24"/>
        </w:rPr>
        <w:footnoteReference w:id="19"/>
      </w:r>
      <w:r w:rsidRPr="004E2E14">
        <w:rPr>
          <w:rFonts w:ascii="Times New Roman" w:hAnsi="Times New Roman" w:cs="Times New Roman"/>
          <w:sz w:val="24"/>
          <w:szCs w:val="24"/>
        </w:rPr>
        <w:t xml:space="preserve"> This possibility is “of the essence of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in the Union.</w:t>
      </w:r>
      <w:r w:rsidRPr="004E2E14">
        <w:rPr>
          <w:rStyle w:val="Refdenotaalpie"/>
          <w:rFonts w:ascii="Times New Roman" w:hAnsi="Times New Roman" w:cs="Times New Roman"/>
          <w:sz w:val="24"/>
          <w:szCs w:val="24"/>
        </w:rPr>
        <w:footnoteReference w:id="20"/>
      </w:r>
      <w:r w:rsidRPr="004E2E14">
        <w:rPr>
          <w:rFonts w:ascii="Times New Roman" w:hAnsi="Times New Roman" w:cs="Times New Roman"/>
          <w:sz w:val="24"/>
          <w:szCs w:val="24"/>
        </w:rPr>
        <w:t xml:space="preserve"> </w:t>
      </w:r>
      <w:r w:rsidR="00426976" w:rsidRPr="004E2E14">
        <w:rPr>
          <w:rFonts w:ascii="Times New Roman" w:hAnsi="Times New Roman" w:cs="Times New Roman"/>
          <w:sz w:val="24"/>
          <w:szCs w:val="24"/>
        </w:rPr>
        <w:t xml:space="preserve">However, all these guarantees would be </w:t>
      </w:r>
      <w:r w:rsidR="00516368" w:rsidRPr="004E2E14">
        <w:rPr>
          <w:rFonts w:ascii="Times New Roman" w:hAnsi="Times New Roman" w:cs="Times New Roman"/>
          <w:sz w:val="24"/>
          <w:szCs w:val="24"/>
        </w:rPr>
        <w:t>pointless</w:t>
      </w:r>
      <w:r w:rsidR="00426976" w:rsidRPr="004E2E14">
        <w:rPr>
          <w:rFonts w:ascii="Times New Roman" w:hAnsi="Times New Roman" w:cs="Times New Roman"/>
          <w:sz w:val="24"/>
          <w:szCs w:val="24"/>
        </w:rPr>
        <w:t xml:space="preserve"> without the </w:t>
      </w:r>
      <w:r w:rsidR="00516368" w:rsidRPr="004E2E14">
        <w:rPr>
          <w:rFonts w:ascii="Times New Roman" w:hAnsi="Times New Roman" w:cs="Times New Roman"/>
          <w:sz w:val="24"/>
          <w:szCs w:val="24"/>
        </w:rPr>
        <w:t>existence</w:t>
      </w:r>
      <w:r w:rsidR="00426976" w:rsidRPr="004E2E14">
        <w:rPr>
          <w:rFonts w:ascii="Times New Roman" w:hAnsi="Times New Roman" w:cs="Times New Roman"/>
          <w:sz w:val="24"/>
          <w:szCs w:val="24"/>
        </w:rPr>
        <w:t xml:space="preserve"> of judicial independence from the executive and legislative powers.</w:t>
      </w:r>
      <w:r w:rsidR="00426976" w:rsidRPr="004E2E14">
        <w:rPr>
          <w:rStyle w:val="Refdenotaalpie"/>
          <w:rFonts w:ascii="Times New Roman" w:hAnsi="Times New Roman" w:cs="Times New Roman"/>
          <w:sz w:val="24"/>
          <w:szCs w:val="24"/>
        </w:rPr>
        <w:footnoteReference w:id="21"/>
      </w:r>
      <w:r w:rsidR="00363EE0" w:rsidRPr="004E2E14">
        <w:rPr>
          <w:rFonts w:ascii="Times New Roman" w:hAnsi="Times New Roman" w:cs="Times New Roman"/>
          <w:sz w:val="24"/>
          <w:szCs w:val="24"/>
        </w:rPr>
        <w:t xml:space="preserve"> </w:t>
      </w:r>
      <w:r w:rsidR="00BF11C3" w:rsidRPr="004E2E14">
        <w:rPr>
          <w:rFonts w:ascii="Times New Roman" w:hAnsi="Times New Roman" w:cs="Times New Roman"/>
          <w:sz w:val="24"/>
          <w:szCs w:val="24"/>
        </w:rPr>
        <w:t xml:space="preserve">Judicial independence is thus one of the key components of the </w:t>
      </w:r>
      <w:r w:rsidR="00062F6C">
        <w:rPr>
          <w:rFonts w:ascii="Times New Roman" w:hAnsi="Times New Roman" w:cs="Times New Roman"/>
          <w:sz w:val="24"/>
          <w:szCs w:val="24"/>
        </w:rPr>
        <w:t>Rule of Law</w:t>
      </w:r>
      <w:r w:rsidR="00BF11C3" w:rsidRPr="004E2E14">
        <w:rPr>
          <w:rFonts w:ascii="Times New Roman" w:hAnsi="Times New Roman" w:cs="Times New Roman"/>
          <w:sz w:val="24"/>
          <w:szCs w:val="24"/>
        </w:rPr>
        <w:t xml:space="preserve">, together with the fundamental right to a fair </w:t>
      </w:r>
      <w:r w:rsidR="00FD2D79" w:rsidRPr="004E2E14">
        <w:rPr>
          <w:rFonts w:ascii="Times New Roman" w:hAnsi="Times New Roman" w:cs="Times New Roman"/>
          <w:sz w:val="24"/>
          <w:szCs w:val="24"/>
        </w:rPr>
        <w:t>trial (Article 47 Charter) and the principle of effective judicial protection (Article 1</w:t>
      </w:r>
      <w:r w:rsidR="00C4175B">
        <w:rPr>
          <w:rFonts w:ascii="Times New Roman" w:hAnsi="Times New Roman" w:cs="Times New Roman"/>
          <w:sz w:val="24"/>
          <w:szCs w:val="24"/>
        </w:rPr>
        <w:t>9 (</w:t>
      </w:r>
      <w:r w:rsidR="00FD2D79" w:rsidRPr="004E2E14">
        <w:rPr>
          <w:rFonts w:ascii="Times New Roman" w:hAnsi="Times New Roman" w:cs="Times New Roman"/>
          <w:sz w:val="24"/>
          <w:szCs w:val="24"/>
        </w:rPr>
        <w:t>1</w:t>
      </w:r>
      <w:r w:rsidR="00380597">
        <w:rPr>
          <w:rFonts w:ascii="Times New Roman" w:hAnsi="Times New Roman" w:cs="Times New Roman"/>
          <w:sz w:val="24"/>
          <w:szCs w:val="24"/>
        </w:rPr>
        <w:t>)</w:t>
      </w:r>
      <w:r w:rsidR="00FD2D79" w:rsidRPr="004E2E14">
        <w:rPr>
          <w:rFonts w:ascii="Times New Roman" w:hAnsi="Times New Roman" w:cs="Times New Roman"/>
          <w:sz w:val="24"/>
          <w:szCs w:val="24"/>
        </w:rPr>
        <w:t xml:space="preserve"> TEU)</w:t>
      </w:r>
      <w:r w:rsidR="00FD2D79" w:rsidRPr="004E2E14">
        <w:rPr>
          <w:rStyle w:val="Refdenotaalpie"/>
          <w:rFonts w:ascii="Times New Roman" w:hAnsi="Times New Roman" w:cs="Times New Roman"/>
          <w:sz w:val="24"/>
          <w:szCs w:val="24"/>
        </w:rPr>
        <w:footnoteReference w:id="22"/>
      </w:r>
      <w:r w:rsidR="00BF11C3" w:rsidRPr="004E2E14">
        <w:rPr>
          <w:rFonts w:ascii="Times New Roman" w:hAnsi="Times New Roman" w:cs="Times New Roman"/>
          <w:sz w:val="24"/>
          <w:szCs w:val="24"/>
        </w:rPr>
        <w:t xml:space="preserve">. </w:t>
      </w:r>
      <w:r w:rsidR="00363EE0" w:rsidRPr="004E2E14">
        <w:rPr>
          <w:rFonts w:ascii="Times New Roman" w:hAnsi="Times New Roman" w:cs="Times New Roman"/>
          <w:sz w:val="24"/>
          <w:szCs w:val="24"/>
        </w:rPr>
        <w:t xml:space="preserve">As BÁRD </w:t>
      </w:r>
      <w:r w:rsidR="00375579">
        <w:rPr>
          <w:rFonts w:ascii="Times New Roman" w:hAnsi="Times New Roman" w:cs="Times New Roman"/>
          <w:sz w:val="24"/>
          <w:szCs w:val="24"/>
        </w:rPr>
        <w:t>points out</w:t>
      </w:r>
      <w:r w:rsidR="00ED42B1">
        <w:rPr>
          <w:rFonts w:ascii="Times New Roman" w:hAnsi="Times New Roman" w:cs="Times New Roman"/>
          <w:sz w:val="24"/>
          <w:szCs w:val="24"/>
        </w:rPr>
        <w:t>,</w:t>
      </w:r>
      <w:r w:rsidR="00363EE0" w:rsidRPr="004E2E14">
        <w:rPr>
          <w:rFonts w:ascii="Times New Roman" w:hAnsi="Times New Roman" w:cs="Times New Roman"/>
          <w:sz w:val="24"/>
          <w:szCs w:val="24"/>
        </w:rPr>
        <w:t xml:space="preserve"> judicial independence is the </w:t>
      </w:r>
      <w:r w:rsidR="00363EE0" w:rsidRPr="004E2E14">
        <w:rPr>
          <w:rFonts w:ascii="Times New Roman" w:hAnsi="Times New Roman" w:cs="Times New Roman"/>
          <w:i/>
          <w:iCs/>
          <w:sz w:val="24"/>
          <w:szCs w:val="24"/>
        </w:rPr>
        <w:t>sine qua non</w:t>
      </w:r>
      <w:r w:rsidR="00363EE0" w:rsidRPr="004E2E14">
        <w:rPr>
          <w:rFonts w:ascii="Times New Roman" w:hAnsi="Times New Roman" w:cs="Times New Roman"/>
          <w:sz w:val="24"/>
          <w:szCs w:val="24"/>
        </w:rPr>
        <w:t xml:space="preserve"> of separation of powers.</w:t>
      </w:r>
      <w:r w:rsidR="009D5B66" w:rsidRPr="004E2E14">
        <w:rPr>
          <w:rStyle w:val="Refdenotaalpie"/>
          <w:rFonts w:ascii="Times New Roman" w:hAnsi="Times New Roman" w:cs="Times New Roman"/>
          <w:sz w:val="24"/>
          <w:szCs w:val="24"/>
        </w:rPr>
        <w:footnoteReference w:id="23"/>
      </w:r>
      <w:r w:rsidR="0058057A" w:rsidRPr="004E2E14">
        <w:rPr>
          <w:rFonts w:ascii="Times New Roman" w:hAnsi="Times New Roman" w:cs="Times New Roman"/>
          <w:sz w:val="24"/>
          <w:szCs w:val="24"/>
        </w:rPr>
        <w:t xml:space="preserve"> The independence of the judicial branch is a foundational value for </w:t>
      </w:r>
      <w:r w:rsidR="00ED42B1">
        <w:rPr>
          <w:rFonts w:ascii="Times New Roman" w:hAnsi="Times New Roman" w:cs="Times New Roman"/>
          <w:sz w:val="24"/>
          <w:szCs w:val="24"/>
        </w:rPr>
        <w:t xml:space="preserve">the </w:t>
      </w:r>
      <w:r w:rsidR="0058057A" w:rsidRPr="004E2E14">
        <w:rPr>
          <w:rFonts w:ascii="Times New Roman" w:hAnsi="Times New Roman" w:cs="Times New Roman"/>
          <w:sz w:val="24"/>
          <w:szCs w:val="24"/>
        </w:rPr>
        <w:t xml:space="preserve">proper functioning of a society founded upon the </w:t>
      </w:r>
      <w:r w:rsidR="00062F6C">
        <w:rPr>
          <w:rFonts w:ascii="Times New Roman" w:hAnsi="Times New Roman" w:cs="Times New Roman"/>
          <w:sz w:val="24"/>
          <w:szCs w:val="24"/>
        </w:rPr>
        <w:t>Rule of Law</w:t>
      </w:r>
      <w:r w:rsidR="0058057A" w:rsidRPr="004E2E14">
        <w:rPr>
          <w:rFonts w:ascii="Times New Roman" w:hAnsi="Times New Roman" w:cs="Times New Roman"/>
          <w:sz w:val="24"/>
          <w:szCs w:val="24"/>
        </w:rPr>
        <w:t xml:space="preserve"> as well </w:t>
      </w:r>
      <w:r w:rsidR="00A22A7F" w:rsidRPr="004E2E14">
        <w:rPr>
          <w:rFonts w:ascii="Times New Roman" w:hAnsi="Times New Roman" w:cs="Times New Roman"/>
          <w:sz w:val="24"/>
          <w:szCs w:val="24"/>
        </w:rPr>
        <w:t>as of a society shaped by a constitutional democratic order.</w:t>
      </w:r>
      <w:r w:rsidR="00A22A7F" w:rsidRPr="004E2E14">
        <w:rPr>
          <w:rStyle w:val="Refdenotaalpie"/>
          <w:rFonts w:ascii="Times New Roman" w:hAnsi="Times New Roman" w:cs="Times New Roman"/>
          <w:sz w:val="24"/>
          <w:szCs w:val="24"/>
        </w:rPr>
        <w:footnoteReference w:id="24"/>
      </w:r>
      <w:r w:rsidR="00BD2284" w:rsidRPr="004E2E14">
        <w:rPr>
          <w:rFonts w:ascii="Times New Roman" w:hAnsi="Times New Roman" w:cs="Times New Roman"/>
          <w:sz w:val="24"/>
          <w:szCs w:val="24"/>
        </w:rPr>
        <w:t xml:space="preserve"> TOLLEY sums up the essence of the matter when he states that «[a]n independent and impartial judiciary is essential to the maintenance of a constitutional democracy based on </w:t>
      </w:r>
      <w:r w:rsidR="00ED42B1">
        <w:rPr>
          <w:rFonts w:ascii="Times New Roman" w:hAnsi="Times New Roman" w:cs="Times New Roman"/>
          <w:sz w:val="24"/>
          <w:szCs w:val="24"/>
        </w:rPr>
        <w:t xml:space="preserve">the </w:t>
      </w:r>
      <w:r w:rsidR="00375579">
        <w:rPr>
          <w:rFonts w:ascii="Times New Roman" w:hAnsi="Times New Roman" w:cs="Times New Roman"/>
          <w:sz w:val="24"/>
          <w:szCs w:val="24"/>
        </w:rPr>
        <w:t>r</w:t>
      </w:r>
      <w:r w:rsidR="00062F6C">
        <w:rPr>
          <w:rFonts w:ascii="Times New Roman" w:hAnsi="Times New Roman" w:cs="Times New Roman"/>
          <w:sz w:val="24"/>
          <w:szCs w:val="24"/>
        </w:rPr>
        <w:t xml:space="preserve">ule of </w:t>
      </w:r>
      <w:r w:rsidR="00375579">
        <w:rPr>
          <w:rFonts w:ascii="Times New Roman" w:hAnsi="Times New Roman" w:cs="Times New Roman"/>
          <w:sz w:val="24"/>
          <w:szCs w:val="24"/>
        </w:rPr>
        <w:t>l</w:t>
      </w:r>
      <w:r w:rsidR="00062F6C">
        <w:rPr>
          <w:rFonts w:ascii="Times New Roman" w:hAnsi="Times New Roman" w:cs="Times New Roman"/>
          <w:sz w:val="24"/>
          <w:szCs w:val="24"/>
        </w:rPr>
        <w:t>aw</w:t>
      </w:r>
      <w:r w:rsidR="00BD2284" w:rsidRPr="004E2E14">
        <w:rPr>
          <w:rFonts w:ascii="Times New Roman" w:hAnsi="Times New Roman" w:cs="Times New Roman"/>
          <w:sz w:val="24"/>
          <w:szCs w:val="24"/>
        </w:rPr>
        <w:t>».</w:t>
      </w:r>
      <w:r w:rsidR="00BD2284" w:rsidRPr="004E2E14">
        <w:rPr>
          <w:rStyle w:val="Refdenotaalpie"/>
          <w:rFonts w:ascii="Times New Roman" w:hAnsi="Times New Roman" w:cs="Times New Roman"/>
          <w:sz w:val="24"/>
          <w:szCs w:val="24"/>
        </w:rPr>
        <w:footnoteReference w:id="25"/>
      </w:r>
    </w:p>
    <w:p w14:paraId="15E396B2" w14:textId="6FBD0E78" w:rsidR="00A70651" w:rsidRPr="004E2E14" w:rsidRDefault="005046D0" w:rsidP="001D12B5">
      <w:pPr>
        <w:pStyle w:val="Textonotapie"/>
        <w:jc w:val="both"/>
        <w:rPr>
          <w:rFonts w:ascii="Times New Roman" w:hAnsi="Times New Roman" w:cs="Times New Roman"/>
          <w:sz w:val="24"/>
          <w:szCs w:val="24"/>
        </w:rPr>
      </w:pPr>
      <w:r w:rsidRPr="004E2E14">
        <w:rPr>
          <w:rFonts w:ascii="Times New Roman" w:hAnsi="Times New Roman" w:cs="Times New Roman"/>
          <w:sz w:val="24"/>
          <w:szCs w:val="24"/>
        </w:rPr>
        <w:t xml:space="preserve">The CJEU ruled in Associação Sindical dos Juízes Portugueses </w:t>
      </w:r>
      <w:r w:rsidR="005B6E06" w:rsidRPr="004E2E14">
        <w:rPr>
          <w:rFonts w:ascii="Times New Roman" w:hAnsi="Times New Roman" w:cs="Times New Roman"/>
          <w:sz w:val="24"/>
          <w:szCs w:val="24"/>
        </w:rPr>
        <w:t>case</w:t>
      </w:r>
      <w:r w:rsidRPr="004E2E14">
        <w:rPr>
          <w:rFonts w:ascii="Times New Roman" w:hAnsi="Times New Roman" w:cs="Times New Roman"/>
          <w:sz w:val="24"/>
          <w:szCs w:val="24"/>
        </w:rPr>
        <w:t xml:space="preserve"> that </w:t>
      </w:r>
      <w:r w:rsidR="00D86F4B" w:rsidRPr="004E2E14">
        <w:rPr>
          <w:rFonts w:ascii="Times New Roman" w:hAnsi="Times New Roman" w:cs="Times New Roman"/>
          <w:sz w:val="24"/>
          <w:szCs w:val="24"/>
        </w:rPr>
        <w:t>«A</w:t>
      </w:r>
      <w:r w:rsidR="00A70651" w:rsidRPr="004E2E14">
        <w:rPr>
          <w:rFonts w:ascii="Times New Roman" w:hAnsi="Times New Roman" w:cs="Times New Roman"/>
          <w:sz w:val="24"/>
          <w:szCs w:val="24"/>
        </w:rPr>
        <w:t>rticle 19</w:t>
      </w:r>
      <w:r w:rsidR="00380597">
        <w:rPr>
          <w:rFonts w:ascii="Times New Roman" w:hAnsi="Times New Roman" w:cs="Times New Roman"/>
          <w:sz w:val="24"/>
          <w:szCs w:val="24"/>
        </w:rPr>
        <w:t xml:space="preserve"> </w:t>
      </w:r>
      <w:r w:rsidR="00A70651" w:rsidRPr="004E2E14">
        <w:rPr>
          <w:rFonts w:ascii="Times New Roman" w:hAnsi="Times New Roman" w:cs="Times New Roman"/>
          <w:sz w:val="24"/>
          <w:szCs w:val="24"/>
        </w:rPr>
        <w:t xml:space="preserve">TEU, which gives concrete expression to the value of the </w:t>
      </w:r>
      <w:r w:rsidR="00062F6C">
        <w:rPr>
          <w:rFonts w:ascii="Times New Roman" w:hAnsi="Times New Roman" w:cs="Times New Roman"/>
          <w:sz w:val="24"/>
          <w:szCs w:val="24"/>
        </w:rPr>
        <w:t>Rule of Law</w:t>
      </w:r>
      <w:r w:rsidR="00A70651" w:rsidRPr="004E2E14">
        <w:rPr>
          <w:rFonts w:ascii="Times New Roman" w:hAnsi="Times New Roman" w:cs="Times New Roman"/>
          <w:sz w:val="24"/>
          <w:szCs w:val="24"/>
        </w:rPr>
        <w:t xml:space="preserve"> stated in Article 2 TEU, entrusts the responsibility for ensuring judicial review in the EU legal order not only to the </w:t>
      </w:r>
      <w:r w:rsidR="003F0F50" w:rsidRPr="003F0F50">
        <w:rPr>
          <w:rFonts w:ascii="Times New Roman" w:hAnsi="Times New Roman" w:cs="Times New Roman"/>
          <w:sz w:val="24"/>
          <w:szCs w:val="24"/>
        </w:rPr>
        <w:t>CJEU</w:t>
      </w:r>
      <w:r w:rsidR="00A70651" w:rsidRPr="004E2E14">
        <w:rPr>
          <w:rFonts w:ascii="Times New Roman" w:hAnsi="Times New Roman" w:cs="Times New Roman"/>
          <w:sz w:val="24"/>
          <w:szCs w:val="24"/>
        </w:rPr>
        <w:t xml:space="preserve"> but also to national courts and tribunals.</w:t>
      </w:r>
      <w:r w:rsidR="00375579">
        <w:rPr>
          <w:rFonts w:ascii="Times New Roman" w:hAnsi="Times New Roman" w:cs="Times New Roman"/>
          <w:sz w:val="24"/>
          <w:szCs w:val="24"/>
        </w:rPr>
        <w:t xml:space="preserve"> </w:t>
      </w:r>
      <w:r w:rsidR="00A70651" w:rsidRPr="004E2E14">
        <w:rPr>
          <w:rFonts w:ascii="Times New Roman" w:hAnsi="Times New Roman" w:cs="Times New Roman"/>
          <w:sz w:val="24"/>
          <w:szCs w:val="24"/>
        </w:rPr>
        <w:t xml:space="preserve">The </w:t>
      </w:r>
      <w:r w:rsidR="00062F6C">
        <w:rPr>
          <w:rFonts w:ascii="Times New Roman" w:hAnsi="Times New Roman" w:cs="Times New Roman"/>
          <w:sz w:val="24"/>
          <w:szCs w:val="24"/>
        </w:rPr>
        <w:t>Member States</w:t>
      </w:r>
      <w:r w:rsidR="00A70651" w:rsidRPr="004E2E14">
        <w:rPr>
          <w:rFonts w:ascii="Times New Roman" w:hAnsi="Times New Roman" w:cs="Times New Roman"/>
          <w:sz w:val="24"/>
          <w:szCs w:val="24"/>
        </w:rPr>
        <w:t xml:space="preserve"> are therefore obliged, by reason, inter alia, of the principle of sincere cooperation, set out in the first subparagraph of Article 4</w:t>
      </w:r>
      <w:r w:rsidR="00C4175B">
        <w:rPr>
          <w:rFonts w:ascii="Times New Roman" w:hAnsi="Times New Roman" w:cs="Times New Roman"/>
          <w:sz w:val="24"/>
          <w:szCs w:val="24"/>
        </w:rPr>
        <w:t xml:space="preserve"> </w:t>
      </w:r>
      <w:r w:rsidR="00A70651" w:rsidRPr="004E2E14">
        <w:rPr>
          <w:rFonts w:ascii="Times New Roman" w:hAnsi="Times New Roman" w:cs="Times New Roman"/>
          <w:sz w:val="24"/>
          <w:szCs w:val="24"/>
        </w:rPr>
        <w:t xml:space="preserve">(3) TEU, to ensure, in their respective territories, the application of and respect for EU law. In that regard, as </w:t>
      </w:r>
      <w:r w:rsidR="00211F11" w:rsidRPr="004E2E14">
        <w:rPr>
          <w:rFonts w:ascii="Times New Roman" w:hAnsi="Times New Roman" w:cs="Times New Roman"/>
          <w:sz w:val="24"/>
          <w:szCs w:val="24"/>
        </w:rPr>
        <w:t>provided</w:t>
      </w:r>
      <w:r w:rsidR="00A70651" w:rsidRPr="004E2E14">
        <w:rPr>
          <w:rFonts w:ascii="Times New Roman" w:hAnsi="Times New Roman" w:cs="Times New Roman"/>
          <w:sz w:val="24"/>
          <w:szCs w:val="24"/>
        </w:rPr>
        <w:t xml:space="preserve"> by the second subparagraph of Article 19</w:t>
      </w:r>
      <w:r w:rsidR="00C4175B">
        <w:rPr>
          <w:rFonts w:ascii="Times New Roman" w:hAnsi="Times New Roman" w:cs="Times New Roman"/>
          <w:sz w:val="24"/>
          <w:szCs w:val="24"/>
        </w:rPr>
        <w:t xml:space="preserve"> </w:t>
      </w:r>
      <w:r w:rsidR="00A70651" w:rsidRPr="004E2E14">
        <w:rPr>
          <w:rFonts w:ascii="Times New Roman" w:hAnsi="Times New Roman" w:cs="Times New Roman"/>
          <w:sz w:val="24"/>
          <w:szCs w:val="24"/>
        </w:rPr>
        <w:t xml:space="preserve">(1) TEU, </w:t>
      </w:r>
      <w:r w:rsidR="00062F6C">
        <w:rPr>
          <w:rFonts w:ascii="Times New Roman" w:hAnsi="Times New Roman" w:cs="Times New Roman"/>
          <w:sz w:val="24"/>
          <w:szCs w:val="24"/>
        </w:rPr>
        <w:t>Member States</w:t>
      </w:r>
      <w:r w:rsidR="00A70651" w:rsidRPr="004E2E14">
        <w:rPr>
          <w:rFonts w:ascii="Times New Roman" w:hAnsi="Times New Roman" w:cs="Times New Roman"/>
          <w:sz w:val="24"/>
          <w:szCs w:val="24"/>
        </w:rPr>
        <w:t xml:space="preserve"> are to provide remedies sufficient to ensure effective judicial protection for individual parties in the fields covered by EU law. It is, therefore, for the </w:t>
      </w:r>
      <w:r w:rsidR="00062F6C">
        <w:rPr>
          <w:rFonts w:ascii="Times New Roman" w:hAnsi="Times New Roman" w:cs="Times New Roman"/>
          <w:sz w:val="24"/>
          <w:szCs w:val="24"/>
        </w:rPr>
        <w:t>Member States</w:t>
      </w:r>
      <w:r w:rsidR="00A70651" w:rsidRPr="004E2E14">
        <w:rPr>
          <w:rFonts w:ascii="Times New Roman" w:hAnsi="Times New Roman" w:cs="Times New Roman"/>
          <w:sz w:val="24"/>
          <w:szCs w:val="24"/>
        </w:rPr>
        <w:t xml:space="preserve"> to establish a system of legal remedies and procedures ensuring effective judicial review in those fields.</w:t>
      </w:r>
      <w:r w:rsidR="00375579">
        <w:rPr>
          <w:rFonts w:ascii="Times New Roman" w:hAnsi="Times New Roman" w:cs="Times New Roman"/>
          <w:sz w:val="24"/>
          <w:szCs w:val="24"/>
        </w:rPr>
        <w:t xml:space="preserve"> </w:t>
      </w:r>
      <w:r w:rsidR="00A70651" w:rsidRPr="004E2E14">
        <w:rPr>
          <w:rFonts w:ascii="Times New Roman" w:hAnsi="Times New Roman" w:cs="Times New Roman"/>
          <w:sz w:val="24"/>
          <w:szCs w:val="24"/>
        </w:rPr>
        <w:t xml:space="preserve">The principle of the effective judicial protection of individuals’ rights under EU law, referred to in the second subparagraph of Article 19(1) TEU, is a general principle of EU law stemming from the constitutional traditions common to the </w:t>
      </w:r>
      <w:r w:rsidR="00062F6C">
        <w:rPr>
          <w:rFonts w:ascii="Times New Roman" w:hAnsi="Times New Roman" w:cs="Times New Roman"/>
          <w:sz w:val="24"/>
          <w:szCs w:val="24"/>
        </w:rPr>
        <w:t>Member States</w:t>
      </w:r>
      <w:r w:rsidR="00A70651" w:rsidRPr="004E2E14">
        <w:rPr>
          <w:rFonts w:ascii="Times New Roman" w:hAnsi="Times New Roman" w:cs="Times New Roman"/>
          <w:sz w:val="24"/>
          <w:szCs w:val="24"/>
        </w:rPr>
        <w:t xml:space="preserve">, which has been enshrined in Articles 6 and 13 of the European Convention for the Protection of Human Rights and Fundamental </w:t>
      </w:r>
      <w:r w:rsidR="00A70651" w:rsidRPr="002F5AD2">
        <w:rPr>
          <w:rFonts w:ascii="Times New Roman" w:hAnsi="Times New Roman" w:cs="Times New Roman"/>
          <w:sz w:val="24"/>
          <w:szCs w:val="24"/>
        </w:rPr>
        <w:t>Freedoms</w:t>
      </w:r>
      <w:r w:rsidR="002F5AD2" w:rsidRPr="002F5AD2">
        <w:rPr>
          <w:rFonts w:ascii="Times New Roman" w:hAnsi="Times New Roman" w:cs="Times New Roman"/>
          <w:sz w:val="24"/>
          <w:szCs w:val="24"/>
        </w:rPr>
        <w:t xml:space="preserve"> </w:t>
      </w:r>
      <w:r w:rsidR="002F5AD2" w:rsidRPr="002F5AD2">
        <w:rPr>
          <w:rFonts w:ascii="Times New Roman" w:hAnsi="Times New Roman" w:cs="Times New Roman"/>
          <w:sz w:val="24"/>
          <w:szCs w:val="24"/>
        </w:rPr>
        <w:lastRenderedPageBreak/>
        <w:t>(ECHR)</w:t>
      </w:r>
      <w:r w:rsidR="00A70651" w:rsidRPr="002F5AD2">
        <w:rPr>
          <w:rFonts w:ascii="Times New Roman" w:hAnsi="Times New Roman" w:cs="Times New Roman"/>
          <w:sz w:val="24"/>
          <w:szCs w:val="24"/>
        </w:rPr>
        <w:t>, signed</w:t>
      </w:r>
      <w:r w:rsidR="00A70651" w:rsidRPr="004E2E14">
        <w:rPr>
          <w:rFonts w:ascii="Times New Roman" w:hAnsi="Times New Roman" w:cs="Times New Roman"/>
          <w:sz w:val="24"/>
          <w:szCs w:val="24"/>
        </w:rPr>
        <w:t xml:space="preserve"> in Rome on 4 November 1950, and which is now reaffirmed by Article 47 of the Charter.</w:t>
      </w:r>
      <w:r w:rsidRPr="004E2E14">
        <w:rPr>
          <w:rFonts w:ascii="Times New Roman" w:hAnsi="Times New Roman" w:cs="Times New Roman"/>
          <w:sz w:val="24"/>
          <w:szCs w:val="24"/>
        </w:rPr>
        <w:t>»</w:t>
      </w:r>
      <w:r w:rsidRPr="004E2E14">
        <w:rPr>
          <w:rStyle w:val="Refdenotaalpie"/>
          <w:rFonts w:ascii="Times New Roman" w:hAnsi="Times New Roman" w:cs="Times New Roman"/>
          <w:sz w:val="24"/>
          <w:szCs w:val="24"/>
        </w:rPr>
        <w:footnoteReference w:id="26"/>
      </w:r>
    </w:p>
    <w:p w14:paraId="7313EB86" w14:textId="77777777" w:rsidR="003D05A9" w:rsidRPr="004E2E14" w:rsidRDefault="003D05A9" w:rsidP="001D12B5">
      <w:pPr>
        <w:pStyle w:val="Textonotapie"/>
        <w:jc w:val="both"/>
        <w:rPr>
          <w:rFonts w:ascii="Times New Roman" w:hAnsi="Times New Roman" w:cs="Times New Roman"/>
          <w:sz w:val="24"/>
          <w:szCs w:val="24"/>
        </w:rPr>
      </w:pPr>
      <w:r w:rsidRPr="004E2E14">
        <w:rPr>
          <w:rFonts w:ascii="Times New Roman" w:hAnsi="Times New Roman" w:cs="Times New Roman"/>
          <w:sz w:val="24"/>
          <w:szCs w:val="24"/>
        </w:rPr>
        <w:t>MOLITERNO and CUROS</w:t>
      </w:r>
      <w:r w:rsidRPr="004E2E14">
        <w:rPr>
          <w:rStyle w:val="Refdenotaalpie"/>
          <w:rFonts w:ascii="Times New Roman" w:hAnsi="Times New Roman" w:cs="Times New Roman"/>
          <w:sz w:val="24"/>
          <w:szCs w:val="24"/>
        </w:rPr>
        <w:footnoteReference w:id="27"/>
      </w:r>
      <w:r w:rsidRPr="004E2E14">
        <w:rPr>
          <w:rFonts w:ascii="Times New Roman" w:hAnsi="Times New Roman" w:cs="Times New Roman"/>
          <w:sz w:val="24"/>
          <w:szCs w:val="24"/>
        </w:rPr>
        <w:t xml:space="preserve"> identify two common connotations of judicial independence: in one version, independence is about a judge’s inner conscience and his commitment to decide cases – appropriate character and independence of mind; in the second, judicial independence is about structures that try to insulate judges from the influence of state actors – institutional mechanisms of control within the constitutional structure.</w:t>
      </w:r>
      <w:r w:rsidRPr="004E2E14">
        <w:rPr>
          <w:rStyle w:val="Refdenotaalpie"/>
          <w:rFonts w:ascii="Times New Roman" w:hAnsi="Times New Roman" w:cs="Times New Roman"/>
          <w:sz w:val="24"/>
          <w:szCs w:val="24"/>
        </w:rPr>
        <w:t xml:space="preserve"> </w:t>
      </w:r>
      <w:r w:rsidRPr="004E2E14">
        <w:rPr>
          <w:rFonts w:ascii="Times New Roman" w:hAnsi="Times New Roman" w:cs="Times New Roman"/>
          <w:sz w:val="24"/>
          <w:szCs w:val="24"/>
        </w:rPr>
        <w:t>This second meaning, the subject of the present paper, is also the one used in decisions of the CJEU, European Court of Human Rights (ECtHR), recommendations and opinions of organizations of the European Union and the Council of Europe. For those authors, the judicial system cannot be fully independent if both categories of independence are not satisfied.</w:t>
      </w:r>
      <w:r w:rsidRPr="004E2E14">
        <w:rPr>
          <w:rStyle w:val="Refdenotaalpie"/>
          <w:rFonts w:ascii="Times New Roman" w:hAnsi="Times New Roman" w:cs="Times New Roman"/>
          <w:sz w:val="24"/>
          <w:szCs w:val="24"/>
        </w:rPr>
        <w:footnoteReference w:id="28"/>
      </w:r>
    </w:p>
    <w:p w14:paraId="7F3020AE" w14:textId="40E4725F" w:rsidR="002C5033" w:rsidRPr="004E2E14" w:rsidRDefault="00ED42B1" w:rsidP="001D12B5">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Ensuring</w:t>
      </w:r>
      <w:r w:rsidR="002C5033" w:rsidRPr="004E2E14">
        <w:rPr>
          <w:rFonts w:ascii="Times New Roman" w:hAnsi="Times New Roman" w:cs="Times New Roman"/>
          <w:sz w:val="24"/>
          <w:szCs w:val="24"/>
        </w:rPr>
        <w:t xml:space="preserve"> that the public authorities respect the principle of legality in their actions is </w:t>
      </w:r>
      <w:r w:rsidR="006652C3" w:rsidRPr="004E2E14">
        <w:rPr>
          <w:rFonts w:ascii="Times New Roman" w:hAnsi="Times New Roman" w:cs="Times New Roman"/>
          <w:sz w:val="24"/>
          <w:szCs w:val="24"/>
        </w:rPr>
        <w:t xml:space="preserve">thus </w:t>
      </w:r>
      <w:r w:rsidR="00595D45" w:rsidRPr="004E2E14">
        <w:rPr>
          <w:rFonts w:ascii="Times New Roman" w:hAnsi="Times New Roman" w:cs="Times New Roman"/>
          <w:sz w:val="24"/>
          <w:szCs w:val="24"/>
        </w:rPr>
        <w:t>the competence</w:t>
      </w:r>
      <w:r w:rsidR="002C5033" w:rsidRPr="004E2E14">
        <w:rPr>
          <w:rFonts w:ascii="Times New Roman" w:hAnsi="Times New Roman" w:cs="Times New Roman"/>
          <w:sz w:val="24"/>
          <w:szCs w:val="24"/>
        </w:rPr>
        <w:t xml:space="preserve"> of the courts. Access to courts and the guarantee of a fair and impartial trial are indispensable for the implementation of the principle of effective judicial protection, of the right to an effective remedy before a court</w:t>
      </w:r>
      <w:r>
        <w:rPr>
          <w:rFonts w:ascii="Times New Roman" w:hAnsi="Times New Roman" w:cs="Times New Roman"/>
          <w:sz w:val="24"/>
          <w:szCs w:val="24"/>
        </w:rPr>
        <w:t>,</w:t>
      </w:r>
      <w:r w:rsidR="002C5033" w:rsidRPr="004E2E14">
        <w:rPr>
          <w:rFonts w:ascii="Times New Roman" w:hAnsi="Times New Roman" w:cs="Times New Roman"/>
          <w:sz w:val="24"/>
          <w:szCs w:val="24"/>
        </w:rPr>
        <w:t xml:space="preserve"> and to ensure respect for the separation of powers.</w:t>
      </w:r>
      <w:r w:rsidR="002C5033" w:rsidRPr="004E2E14">
        <w:rPr>
          <w:rStyle w:val="Refdenotaalpie"/>
          <w:rFonts w:ascii="Times New Roman" w:hAnsi="Times New Roman" w:cs="Times New Roman"/>
          <w:sz w:val="24"/>
          <w:szCs w:val="24"/>
        </w:rPr>
        <w:footnoteReference w:id="29"/>
      </w:r>
      <w:r w:rsidR="002C5033" w:rsidRPr="004E2E14">
        <w:rPr>
          <w:rFonts w:ascii="Times New Roman" w:hAnsi="Times New Roman" w:cs="Times New Roman"/>
          <w:sz w:val="24"/>
          <w:szCs w:val="24"/>
        </w:rPr>
        <w:t xml:space="preserve"> </w:t>
      </w:r>
      <w:r w:rsidR="00FD5068" w:rsidRPr="004E2E14">
        <w:rPr>
          <w:rFonts w:ascii="Times New Roman" w:hAnsi="Times New Roman" w:cs="Times New Roman"/>
          <w:sz w:val="24"/>
          <w:szCs w:val="24"/>
        </w:rPr>
        <w:t>And a “court” is always to be understood as meaning an “independent court” in the EU legal order.</w:t>
      </w:r>
      <w:r w:rsidR="00FD5068" w:rsidRPr="004E2E14">
        <w:rPr>
          <w:rStyle w:val="Refdenotaalpie"/>
          <w:rFonts w:ascii="Times New Roman" w:hAnsi="Times New Roman" w:cs="Times New Roman"/>
          <w:sz w:val="24"/>
          <w:szCs w:val="24"/>
        </w:rPr>
        <w:footnoteReference w:id="30"/>
      </w:r>
      <w:r w:rsidR="00B70435" w:rsidRPr="004E2E14">
        <w:rPr>
          <w:rFonts w:ascii="Times New Roman" w:hAnsi="Times New Roman" w:cs="Times New Roman"/>
          <w:sz w:val="24"/>
          <w:szCs w:val="24"/>
        </w:rPr>
        <w:t xml:space="preserve"> </w:t>
      </w:r>
      <w:r w:rsidR="004C545F" w:rsidRPr="004E2E14">
        <w:rPr>
          <w:rFonts w:ascii="Times New Roman" w:hAnsi="Times New Roman" w:cs="Times New Roman"/>
          <w:sz w:val="24"/>
          <w:szCs w:val="24"/>
        </w:rPr>
        <w:t>«</w:t>
      </w:r>
      <w:r w:rsidR="00B70435" w:rsidRPr="004E2E14">
        <w:rPr>
          <w:rFonts w:ascii="Times New Roman" w:hAnsi="Times New Roman" w:cs="Times New Roman"/>
          <w:sz w:val="24"/>
          <w:szCs w:val="24"/>
        </w:rPr>
        <w:t>This means that the exercise</w:t>
      </w:r>
      <w:r w:rsidR="004C545F" w:rsidRPr="004E2E14">
        <w:rPr>
          <w:rFonts w:ascii="Times New Roman" w:hAnsi="Times New Roman" w:cs="Times New Roman"/>
          <w:sz w:val="24"/>
          <w:szCs w:val="24"/>
        </w:rPr>
        <w:t xml:space="preserve"> of judicial power neither depends on the discretion of the executive nor is influenced by powerful political and economic interests», as TOLLEY rightly underlines</w:t>
      </w:r>
      <w:r w:rsidR="00274A74" w:rsidRPr="004E2E14">
        <w:rPr>
          <w:rFonts w:ascii="Times New Roman" w:hAnsi="Times New Roman" w:cs="Times New Roman"/>
          <w:sz w:val="24"/>
          <w:szCs w:val="24"/>
        </w:rPr>
        <w:t>, adding that autonomy and discretion are the critical elements that define judicial independence</w:t>
      </w:r>
      <w:r w:rsidR="004C545F" w:rsidRPr="004E2E14">
        <w:rPr>
          <w:rFonts w:ascii="Times New Roman" w:hAnsi="Times New Roman" w:cs="Times New Roman"/>
          <w:sz w:val="24"/>
          <w:szCs w:val="24"/>
        </w:rPr>
        <w:t>.</w:t>
      </w:r>
      <w:r w:rsidR="004C545F" w:rsidRPr="004E2E14">
        <w:rPr>
          <w:rStyle w:val="Refdenotaalpie"/>
          <w:rFonts w:ascii="Times New Roman" w:hAnsi="Times New Roman" w:cs="Times New Roman"/>
          <w:sz w:val="24"/>
          <w:szCs w:val="24"/>
        </w:rPr>
        <w:footnoteReference w:id="31"/>
      </w:r>
    </w:p>
    <w:p w14:paraId="3DC20242" w14:textId="77777777" w:rsidR="00F96B10" w:rsidRPr="004E2E14" w:rsidRDefault="00F96B10" w:rsidP="001D12B5">
      <w:pPr>
        <w:pStyle w:val="Prrafodelista"/>
        <w:spacing w:after="0" w:line="240" w:lineRule="auto"/>
        <w:ind w:left="0"/>
        <w:jc w:val="both"/>
        <w:rPr>
          <w:rFonts w:ascii="Times New Roman" w:hAnsi="Times New Roman" w:cs="Times New Roman"/>
          <w:sz w:val="24"/>
          <w:szCs w:val="24"/>
        </w:rPr>
      </w:pPr>
    </w:p>
    <w:p w14:paraId="1772D5F6" w14:textId="118686F1" w:rsidR="00EE6817" w:rsidRPr="00425FC8" w:rsidRDefault="00EE6817" w:rsidP="001D12B5">
      <w:pPr>
        <w:pStyle w:val="Prrafodelista"/>
        <w:numPr>
          <w:ilvl w:val="0"/>
          <w:numId w:val="25"/>
        </w:numPr>
        <w:spacing w:line="240" w:lineRule="auto"/>
        <w:ind w:left="0" w:firstLine="0"/>
        <w:jc w:val="both"/>
        <w:rPr>
          <w:rFonts w:ascii="Times New Roman" w:hAnsi="Times New Roman" w:cs="Times New Roman"/>
          <w:b/>
          <w:bCs/>
          <w:sz w:val="24"/>
          <w:szCs w:val="24"/>
          <w:shd w:val="clear" w:color="auto" w:fill="FFFFFF"/>
        </w:rPr>
      </w:pPr>
      <w:r w:rsidRPr="00425FC8">
        <w:rPr>
          <w:rFonts w:ascii="Times New Roman" w:hAnsi="Times New Roman" w:cs="Times New Roman"/>
          <w:b/>
          <w:bCs/>
          <w:sz w:val="24"/>
          <w:szCs w:val="24"/>
          <w:shd w:val="clear" w:color="auto" w:fill="FFFFFF"/>
        </w:rPr>
        <w:t xml:space="preserve">Threats to </w:t>
      </w:r>
      <w:r w:rsidR="00ED42B1" w:rsidRPr="00425FC8">
        <w:rPr>
          <w:rFonts w:ascii="Times New Roman" w:hAnsi="Times New Roman" w:cs="Times New Roman"/>
          <w:b/>
          <w:bCs/>
          <w:sz w:val="24"/>
          <w:szCs w:val="24"/>
          <w:shd w:val="clear" w:color="auto" w:fill="FFFFFF"/>
        </w:rPr>
        <w:t xml:space="preserve">the </w:t>
      </w:r>
      <w:r w:rsidR="00062F6C" w:rsidRPr="00425FC8">
        <w:rPr>
          <w:rFonts w:ascii="Times New Roman" w:hAnsi="Times New Roman" w:cs="Times New Roman"/>
          <w:b/>
          <w:bCs/>
          <w:sz w:val="24"/>
          <w:szCs w:val="24"/>
          <w:shd w:val="clear" w:color="auto" w:fill="FFFFFF"/>
        </w:rPr>
        <w:t>Rule of Law</w:t>
      </w:r>
      <w:r w:rsidRPr="00425FC8">
        <w:rPr>
          <w:rFonts w:ascii="Times New Roman" w:hAnsi="Times New Roman" w:cs="Times New Roman"/>
          <w:b/>
          <w:bCs/>
          <w:sz w:val="24"/>
          <w:szCs w:val="24"/>
          <w:shd w:val="clear" w:color="auto" w:fill="FFFFFF"/>
        </w:rPr>
        <w:t xml:space="preserve"> in </w:t>
      </w:r>
      <w:r w:rsidR="00ED42B1" w:rsidRPr="00425FC8">
        <w:rPr>
          <w:rFonts w:ascii="Times New Roman" w:hAnsi="Times New Roman" w:cs="Times New Roman"/>
          <w:b/>
          <w:bCs/>
          <w:sz w:val="24"/>
          <w:szCs w:val="24"/>
          <w:shd w:val="clear" w:color="auto" w:fill="FFFFFF"/>
        </w:rPr>
        <w:t xml:space="preserve">the </w:t>
      </w:r>
      <w:r w:rsidRPr="00425FC8">
        <w:rPr>
          <w:rFonts w:ascii="Times New Roman" w:hAnsi="Times New Roman" w:cs="Times New Roman"/>
          <w:b/>
          <w:bCs/>
          <w:sz w:val="24"/>
          <w:szCs w:val="24"/>
          <w:shd w:val="clear" w:color="auto" w:fill="FFFFFF"/>
        </w:rPr>
        <w:t>European Union</w:t>
      </w:r>
      <w:r w:rsidR="006A498D" w:rsidRPr="00425FC8">
        <w:rPr>
          <w:rFonts w:ascii="Times New Roman" w:hAnsi="Times New Roman" w:cs="Times New Roman"/>
          <w:b/>
          <w:bCs/>
          <w:sz w:val="24"/>
          <w:szCs w:val="24"/>
          <w:shd w:val="clear" w:color="auto" w:fill="FFFFFF"/>
        </w:rPr>
        <w:t xml:space="preserve"> </w:t>
      </w:r>
    </w:p>
    <w:p w14:paraId="42663E29" w14:textId="3F75CF9D" w:rsidR="003F5E4F" w:rsidRPr="004E2E14" w:rsidRDefault="00AC428D" w:rsidP="001D12B5">
      <w:pPr>
        <w:pStyle w:val="Normal1"/>
        <w:shd w:val="clear" w:color="auto" w:fill="FFFFFF"/>
        <w:spacing w:before="0" w:beforeAutospacing="0" w:after="0" w:afterAutospacing="0"/>
        <w:jc w:val="both"/>
        <w:rPr>
          <w:lang w:val="en-US"/>
        </w:rPr>
      </w:pPr>
      <w:r w:rsidRPr="004E2E14">
        <w:rPr>
          <w:shd w:val="clear" w:color="auto" w:fill="FFFFFF"/>
          <w:lang w:val="en-US"/>
        </w:rPr>
        <w:lastRenderedPageBreak/>
        <w:t xml:space="preserve">The principle of solidarity, mentioned in </w:t>
      </w:r>
      <w:r w:rsidR="00C4175B">
        <w:rPr>
          <w:shd w:val="clear" w:color="auto" w:fill="FFFFFF"/>
          <w:lang w:val="en-US"/>
        </w:rPr>
        <w:t>A</w:t>
      </w:r>
      <w:r w:rsidRPr="004E2E14">
        <w:rPr>
          <w:shd w:val="clear" w:color="auto" w:fill="FFFFFF"/>
          <w:lang w:val="en-US"/>
        </w:rPr>
        <w:t>rticle</w:t>
      </w:r>
      <w:r w:rsidR="001C141B" w:rsidRPr="004E2E14">
        <w:rPr>
          <w:shd w:val="clear" w:color="auto" w:fill="FFFFFF"/>
          <w:lang w:val="en-US"/>
        </w:rPr>
        <w:t>s</w:t>
      </w:r>
      <w:r w:rsidRPr="004E2E14">
        <w:rPr>
          <w:shd w:val="clear" w:color="auto" w:fill="FFFFFF"/>
          <w:lang w:val="en-US"/>
        </w:rPr>
        <w:t xml:space="preserve"> 2</w:t>
      </w:r>
      <w:r w:rsidR="001C141B" w:rsidRPr="004E2E14">
        <w:rPr>
          <w:shd w:val="clear" w:color="auto" w:fill="FFFFFF"/>
          <w:lang w:val="en-US"/>
        </w:rPr>
        <w:t xml:space="preserve"> and 4</w:t>
      </w:r>
      <w:r w:rsidR="00C4175B">
        <w:rPr>
          <w:shd w:val="clear" w:color="auto" w:fill="FFFFFF"/>
          <w:lang w:val="en-US"/>
        </w:rPr>
        <w:t>(</w:t>
      </w:r>
      <w:r w:rsidR="001C141B" w:rsidRPr="004E2E14">
        <w:rPr>
          <w:shd w:val="clear" w:color="auto" w:fill="FFFFFF"/>
          <w:lang w:val="en-US"/>
        </w:rPr>
        <w:t>3</w:t>
      </w:r>
      <w:r w:rsidR="00C4175B">
        <w:rPr>
          <w:shd w:val="clear" w:color="auto" w:fill="FFFFFF"/>
          <w:lang w:val="en-US"/>
        </w:rPr>
        <w:t>)</w:t>
      </w:r>
      <w:r w:rsidR="002730F6" w:rsidRPr="004E2E14">
        <w:rPr>
          <w:shd w:val="clear" w:color="auto" w:fill="FFFFFF"/>
          <w:lang w:val="en-US"/>
        </w:rPr>
        <w:t xml:space="preserve"> </w:t>
      </w:r>
      <w:r w:rsidRPr="004E2E14">
        <w:rPr>
          <w:shd w:val="clear" w:color="auto" w:fill="FFFFFF"/>
          <w:lang w:val="en-US"/>
        </w:rPr>
        <w:t>TEU, one of the fundamental principles of EU law, is based on mutual trust</w:t>
      </w:r>
      <w:r w:rsidR="00CD0C16" w:rsidRPr="004E2E14">
        <w:rPr>
          <w:shd w:val="clear" w:color="auto" w:fill="FFFFFF"/>
          <w:lang w:val="en-US"/>
        </w:rPr>
        <w:t xml:space="preserve"> or mutual recognition</w:t>
      </w:r>
      <w:r w:rsidRPr="004E2E14">
        <w:rPr>
          <w:shd w:val="clear" w:color="auto" w:fill="FFFFFF"/>
          <w:lang w:val="en-US"/>
        </w:rPr>
        <w:t xml:space="preserve"> between the </w:t>
      </w:r>
      <w:r w:rsidR="00062F6C">
        <w:rPr>
          <w:shd w:val="clear" w:color="auto" w:fill="FFFFFF"/>
          <w:lang w:val="en-US"/>
        </w:rPr>
        <w:t>Member States</w:t>
      </w:r>
      <w:r w:rsidR="003F5E4F" w:rsidRPr="004E2E14">
        <w:rPr>
          <w:shd w:val="clear" w:color="auto" w:fill="FFFFFF"/>
          <w:lang w:val="en-US"/>
        </w:rPr>
        <w:t xml:space="preserve">, </w:t>
      </w:r>
      <w:r w:rsidR="002730F6" w:rsidRPr="004E2E14">
        <w:rPr>
          <w:shd w:val="clear" w:color="auto" w:fill="FFFFFF"/>
          <w:lang w:val="en-US"/>
        </w:rPr>
        <w:t xml:space="preserve">and </w:t>
      </w:r>
      <w:r w:rsidR="003F5E4F" w:rsidRPr="004E2E14">
        <w:rPr>
          <w:shd w:val="clear" w:color="auto" w:fill="FFFFFF"/>
          <w:lang w:val="en-US"/>
        </w:rPr>
        <w:t xml:space="preserve">is itself based on the commitment of each Member State to observe the terms of Union membership (with the inherent </w:t>
      </w:r>
      <w:r w:rsidR="00EF0428" w:rsidRPr="004E2E14">
        <w:rPr>
          <w:shd w:val="clear" w:color="auto" w:fill="FFFFFF"/>
          <w:lang w:val="en-US"/>
        </w:rPr>
        <w:t xml:space="preserve">rights and duties, </w:t>
      </w:r>
      <w:r w:rsidR="003F5E4F" w:rsidRPr="004E2E14">
        <w:rPr>
          <w:shd w:val="clear" w:color="auto" w:fill="FFFFFF"/>
          <w:lang w:val="en-US"/>
        </w:rPr>
        <w:t>advantages and disadvantages), and to comply with the European values.</w:t>
      </w:r>
      <w:r w:rsidR="00B2153B" w:rsidRPr="004E2E14">
        <w:rPr>
          <w:rStyle w:val="Refdenotaalpie"/>
          <w:shd w:val="clear" w:color="auto" w:fill="FFFFFF"/>
          <w:lang w:val="en-US"/>
        </w:rPr>
        <w:footnoteReference w:id="32"/>
      </w:r>
      <w:r w:rsidR="003F5E4F" w:rsidRPr="004E2E14">
        <w:rPr>
          <w:shd w:val="clear" w:color="auto" w:fill="FFFFFF"/>
          <w:lang w:val="en-US"/>
        </w:rPr>
        <w:t xml:space="preserve"> </w:t>
      </w:r>
      <w:r w:rsidR="001C141B" w:rsidRPr="004E2E14">
        <w:rPr>
          <w:shd w:val="clear" w:color="auto" w:fill="FFFFFF"/>
          <w:lang w:val="en-US"/>
        </w:rPr>
        <w:t xml:space="preserve">It implies that </w:t>
      </w:r>
      <w:r w:rsidR="001C141B" w:rsidRPr="004E2E14">
        <w:rPr>
          <w:lang w:val="en-US"/>
        </w:rPr>
        <w:t xml:space="preserve">the Union and the </w:t>
      </w:r>
      <w:r w:rsidR="00062F6C">
        <w:rPr>
          <w:lang w:val="en-US"/>
        </w:rPr>
        <w:t>Member States</w:t>
      </w:r>
      <w:r w:rsidR="001C141B" w:rsidRPr="004E2E14">
        <w:rPr>
          <w:lang w:val="en-US"/>
        </w:rPr>
        <w:t xml:space="preserve">, in full mutual respect, shall assist each other in carrying out tasks which flow from the Treaties, and that the </w:t>
      </w:r>
      <w:r w:rsidR="00062F6C">
        <w:rPr>
          <w:lang w:val="en-US"/>
        </w:rPr>
        <w:t>Member States</w:t>
      </w:r>
      <w:r w:rsidR="001C141B" w:rsidRPr="004E2E14">
        <w:rPr>
          <w:lang w:val="en-US"/>
        </w:rPr>
        <w:t xml:space="preserve"> shall take any appropriate measure to ensure fulfilment of the obligations arising out of the Treaties and refrain from any measure which could </w:t>
      </w:r>
      <w:r w:rsidR="00595D45" w:rsidRPr="004E2E14">
        <w:rPr>
          <w:lang w:val="en-US"/>
        </w:rPr>
        <w:t>jeopardize</w:t>
      </w:r>
      <w:r w:rsidR="001C141B" w:rsidRPr="004E2E14">
        <w:rPr>
          <w:lang w:val="en-US"/>
        </w:rPr>
        <w:t xml:space="preserve"> the attainment of the Union's objectives.</w:t>
      </w:r>
    </w:p>
    <w:p w14:paraId="07B8FEAC" w14:textId="3384F4DA" w:rsidR="00185309" w:rsidRPr="004E2E14" w:rsidRDefault="00FA1690"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However, t</w:t>
      </w:r>
      <w:r w:rsidR="00185309" w:rsidRPr="004E2E14">
        <w:rPr>
          <w:rFonts w:ascii="Times New Roman" w:hAnsi="Times New Roman" w:cs="Times New Roman"/>
          <w:sz w:val="24"/>
          <w:szCs w:val="24"/>
          <w:shd w:val="clear" w:color="auto" w:fill="FFFFFF"/>
        </w:rPr>
        <w:t xml:space="preserve">he entry of the current 27 </w:t>
      </w:r>
      <w:r w:rsidR="00062F6C">
        <w:rPr>
          <w:rFonts w:ascii="Times New Roman" w:hAnsi="Times New Roman" w:cs="Times New Roman"/>
          <w:sz w:val="24"/>
          <w:szCs w:val="24"/>
          <w:shd w:val="clear" w:color="auto" w:fill="FFFFFF"/>
        </w:rPr>
        <w:t>Member States</w:t>
      </w:r>
      <w:r w:rsidR="00185309" w:rsidRPr="004E2E14">
        <w:rPr>
          <w:rFonts w:ascii="Times New Roman" w:hAnsi="Times New Roman" w:cs="Times New Roman"/>
          <w:sz w:val="24"/>
          <w:szCs w:val="24"/>
          <w:shd w:val="clear" w:color="auto" w:fill="FFFFFF"/>
        </w:rPr>
        <w:t xml:space="preserve"> into the European Union took place in stages (one enlargement after another) and at </w:t>
      </w:r>
      <w:r w:rsidR="00D86F4B" w:rsidRPr="004E2E14">
        <w:rPr>
          <w:rFonts w:ascii="Times New Roman" w:hAnsi="Times New Roman" w:cs="Times New Roman"/>
          <w:sz w:val="24"/>
          <w:szCs w:val="24"/>
          <w:shd w:val="clear" w:color="auto" w:fill="FFFFFF"/>
        </w:rPr>
        <w:t>various times</w:t>
      </w:r>
      <w:r w:rsidR="00185309" w:rsidRPr="004E2E14">
        <w:rPr>
          <w:rFonts w:ascii="Times New Roman" w:hAnsi="Times New Roman" w:cs="Times New Roman"/>
          <w:sz w:val="24"/>
          <w:szCs w:val="24"/>
          <w:shd w:val="clear" w:color="auto" w:fill="FFFFFF"/>
        </w:rPr>
        <w:t xml:space="preserve"> </w:t>
      </w:r>
      <w:r w:rsidR="007210BF" w:rsidRPr="004E2E14">
        <w:rPr>
          <w:rFonts w:ascii="Times New Roman" w:hAnsi="Times New Roman" w:cs="Times New Roman"/>
          <w:sz w:val="24"/>
          <w:szCs w:val="24"/>
          <w:shd w:val="clear" w:color="auto" w:fill="FFFFFF"/>
        </w:rPr>
        <w:t>and speeds</w:t>
      </w:r>
      <w:r w:rsidR="00185309" w:rsidRPr="004E2E14">
        <w:rPr>
          <w:rFonts w:ascii="Times New Roman" w:hAnsi="Times New Roman" w:cs="Times New Roman"/>
          <w:sz w:val="24"/>
          <w:szCs w:val="24"/>
          <w:shd w:val="clear" w:color="auto" w:fill="FFFFFF"/>
        </w:rPr>
        <w:t xml:space="preserve">, </w:t>
      </w:r>
      <w:r w:rsidR="00B30C61" w:rsidRPr="004E2E14">
        <w:rPr>
          <w:rFonts w:ascii="Times New Roman" w:hAnsi="Times New Roman" w:cs="Times New Roman"/>
          <w:sz w:val="24"/>
          <w:szCs w:val="24"/>
          <w:shd w:val="clear" w:color="auto" w:fill="FFFFFF"/>
        </w:rPr>
        <w:t>to</w:t>
      </w:r>
      <w:r w:rsidR="00185309" w:rsidRPr="004E2E14">
        <w:rPr>
          <w:rFonts w:ascii="Times New Roman" w:hAnsi="Times New Roman" w:cs="Times New Roman"/>
          <w:sz w:val="24"/>
          <w:szCs w:val="24"/>
          <w:shd w:val="clear" w:color="auto" w:fill="FFFFFF"/>
        </w:rPr>
        <w:t xml:space="preserve"> respect the </w:t>
      </w:r>
      <w:r w:rsidR="004E6C8E" w:rsidRPr="004E2E14">
        <w:rPr>
          <w:rFonts w:ascii="Times New Roman" w:hAnsi="Times New Roman" w:cs="Times New Roman"/>
          <w:sz w:val="24"/>
          <w:szCs w:val="24"/>
          <w:shd w:val="clear" w:color="auto" w:fill="FFFFFF"/>
        </w:rPr>
        <w:t>distinct characteristics</w:t>
      </w:r>
      <w:r w:rsidR="00185309" w:rsidRPr="004E2E14">
        <w:rPr>
          <w:rFonts w:ascii="Times New Roman" w:hAnsi="Times New Roman" w:cs="Times New Roman"/>
          <w:sz w:val="24"/>
          <w:szCs w:val="24"/>
          <w:shd w:val="clear" w:color="auto" w:fill="FFFFFF"/>
        </w:rPr>
        <w:t xml:space="preserve"> and needs of each one, which </w:t>
      </w:r>
      <w:r w:rsidR="00E975C8" w:rsidRPr="004E2E14">
        <w:rPr>
          <w:rFonts w:ascii="Times New Roman" w:hAnsi="Times New Roman" w:cs="Times New Roman"/>
          <w:sz w:val="24"/>
          <w:szCs w:val="24"/>
          <w:shd w:val="clear" w:color="auto" w:fill="FFFFFF"/>
        </w:rPr>
        <w:t>resulted</w:t>
      </w:r>
      <w:r w:rsidR="00185309" w:rsidRPr="004E2E14">
        <w:rPr>
          <w:rFonts w:ascii="Times New Roman" w:hAnsi="Times New Roman" w:cs="Times New Roman"/>
          <w:sz w:val="24"/>
          <w:szCs w:val="24"/>
          <w:shd w:val="clear" w:color="auto" w:fill="FFFFFF"/>
        </w:rPr>
        <w:t xml:space="preserve"> in differentiated integration. </w:t>
      </w:r>
    </w:p>
    <w:p w14:paraId="1C18D58C" w14:textId="601A1B44" w:rsidR="00185309" w:rsidRPr="004E2E14" w:rsidRDefault="00185309"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 xml:space="preserve">Differentiated integration has focused on legal mechanisms that enable </w:t>
      </w:r>
      <w:r w:rsidR="00062F6C">
        <w:rPr>
          <w:rFonts w:ascii="Times New Roman" w:hAnsi="Times New Roman" w:cs="Times New Roman"/>
          <w:sz w:val="24"/>
          <w:szCs w:val="24"/>
          <w:shd w:val="clear" w:color="auto" w:fill="FFFFFF"/>
        </w:rPr>
        <w:t>Member States</w:t>
      </w:r>
      <w:r w:rsidRPr="004E2E14">
        <w:rPr>
          <w:rFonts w:ascii="Times New Roman" w:hAnsi="Times New Roman" w:cs="Times New Roman"/>
          <w:sz w:val="24"/>
          <w:szCs w:val="24"/>
          <w:shd w:val="clear" w:color="auto" w:fill="FFFFFF"/>
        </w:rPr>
        <w:t xml:space="preserve"> and non-state entities to cooperate </w:t>
      </w:r>
      <w:r w:rsidR="00ED42B1">
        <w:rPr>
          <w:rFonts w:ascii="Times New Roman" w:hAnsi="Times New Roman" w:cs="Times New Roman"/>
          <w:sz w:val="24"/>
          <w:szCs w:val="24"/>
          <w:shd w:val="clear" w:color="auto" w:fill="FFFFFF"/>
        </w:rPr>
        <w:t>flexibly</w:t>
      </w:r>
      <w:r w:rsidRPr="004E2E14">
        <w:rPr>
          <w:rFonts w:ascii="Times New Roman" w:hAnsi="Times New Roman" w:cs="Times New Roman"/>
          <w:sz w:val="24"/>
          <w:szCs w:val="24"/>
          <w:shd w:val="clear" w:color="auto" w:fill="FFFFFF"/>
        </w:rPr>
        <w:t xml:space="preserve"> towards an ever-closer Union.</w:t>
      </w:r>
      <w:r w:rsidRPr="004E2E14">
        <w:rPr>
          <w:rStyle w:val="Refdenotaalpie"/>
          <w:rFonts w:ascii="Times New Roman" w:hAnsi="Times New Roman" w:cs="Times New Roman"/>
          <w:sz w:val="24"/>
          <w:szCs w:val="24"/>
          <w:shd w:val="clear" w:color="auto" w:fill="FFFFFF"/>
        </w:rPr>
        <w:footnoteReference w:id="33"/>
      </w:r>
      <w:r w:rsidR="00422B7A" w:rsidRPr="004E2E14">
        <w:rPr>
          <w:rFonts w:ascii="Times New Roman" w:hAnsi="Times New Roman" w:cs="Times New Roman"/>
          <w:sz w:val="24"/>
          <w:szCs w:val="24"/>
          <w:shd w:val="clear" w:color="auto" w:fill="FFFFFF"/>
        </w:rPr>
        <w:t xml:space="preserve"> Nevertheless, this differentiation eventually led to </w:t>
      </w:r>
      <w:r w:rsidR="00B30C61" w:rsidRPr="004E2E14">
        <w:rPr>
          <w:rFonts w:ascii="Times New Roman" w:hAnsi="Times New Roman" w:cs="Times New Roman"/>
          <w:sz w:val="24"/>
          <w:szCs w:val="24"/>
          <w:shd w:val="clear" w:color="auto" w:fill="FFFFFF"/>
        </w:rPr>
        <w:t>fragmentation and even to</w:t>
      </w:r>
      <w:r w:rsidR="00422B7A" w:rsidRPr="004E2E14">
        <w:rPr>
          <w:rFonts w:ascii="Times New Roman" w:hAnsi="Times New Roman" w:cs="Times New Roman"/>
          <w:sz w:val="24"/>
          <w:szCs w:val="24"/>
          <w:shd w:val="clear" w:color="auto" w:fill="FFFFFF"/>
        </w:rPr>
        <w:t xml:space="preserve"> disintegration</w:t>
      </w:r>
      <w:r w:rsidR="00B30C61" w:rsidRPr="004E2E14">
        <w:rPr>
          <w:rFonts w:ascii="Times New Roman" w:hAnsi="Times New Roman" w:cs="Times New Roman"/>
          <w:sz w:val="24"/>
          <w:szCs w:val="24"/>
          <w:shd w:val="clear" w:color="auto" w:fill="FFFFFF"/>
        </w:rPr>
        <w:t xml:space="preserve">, to the point of endangering the European </w:t>
      </w:r>
      <w:r w:rsidR="00ED42B1">
        <w:rPr>
          <w:rFonts w:ascii="Times New Roman" w:hAnsi="Times New Roman" w:cs="Times New Roman"/>
          <w:sz w:val="24"/>
          <w:szCs w:val="24"/>
          <w:shd w:val="clear" w:color="auto" w:fill="FFFFFF"/>
        </w:rPr>
        <w:t>Union's</w:t>
      </w:r>
      <w:r w:rsidR="00B30C61" w:rsidRPr="004E2E14">
        <w:rPr>
          <w:rFonts w:ascii="Times New Roman" w:hAnsi="Times New Roman" w:cs="Times New Roman"/>
          <w:sz w:val="24"/>
          <w:szCs w:val="24"/>
          <w:shd w:val="clear" w:color="auto" w:fill="FFFFFF"/>
        </w:rPr>
        <w:t xml:space="preserve"> principles and values. </w:t>
      </w:r>
    </w:p>
    <w:p w14:paraId="0FA72097" w14:textId="24E45962" w:rsidR="00B30C61" w:rsidRPr="004E2E14" w:rsidRDefault="00B30C61"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 xml:space="preserve">As </w:t>
      </w:r>
      <w:r w:rsidR="00DE3463" w:rsidRPr="004E2E14">
        <w:rPr>
          <w:rFonts w:ascii="Times New Roman" w:hAnsi="Times New Roman" w:cs="Times New Roman"/>
          <w:sz w:val="24"/>
          <w:szCs w:val="24"/>
          <w:shd w:val="clear" w:color="auto" w:fill="FFFFFF"/>
        </w:rPr>
        <w:t>D</w:t>
      </w:r>
      <w:r w:rsidR="00133752" w:rsidRPr="004E2E14">
        <w:rPr>
          <w:rFonts w:ascii="Times New Roman" w:hAnsi="Times New Roman" w:cs="Times New Roman"/>
          <w:sz w:val="24"/>
          <w:szCs w:val="24"/>
          <w:shd w:val="clear" w:color="auto" w:fill="FFFFFF"/>
        </w:rPr>
        <w:t>E</w:t>
      </w:r>
      <w:r w:rsidRPr="004E2E14">
        <w:rPr>
          <w:rFonts w:ascii="Times New Roman" w:hAnsi="Times New Roman" w:cs="Times New Roman"/>
          <w:sz w:val="24"/>
          <w:szCs w:val="24"/>
          <w:shd w:val="clear" w:color="auto" w:fill="FFFFFF"/>
        </w:rPr>
        <w:t xml:space="preserve"> WI</w:t>
      </w:r>
      <w:r w:rsidR="00DE3463" w:rsidRPr="004E2E14">
        <w:rPr>
          <w:rFonts w:ascii="Times New Roman" w:hAnsi="Times New Roman" w:cs="Times New Roman"/>
          <w:sz w:val="24"/>
          <w:szCs w:val="24"/>
          <w:shd w:val="clear" w:color="auto" w:fill="FFFFFF"/>
        </w:rPr>
        <w:t>TT</w:t>
      </w:r>
      <w:r w:rsidRPr="004E2E14">
        <w:rPr>
          <w:rFonts w:ascii="Times New Roman" w:hAnsi="Times New Roman" w:cs="Times New Roman"/>
          <w:sz w:val="24"/>
          <w:szCs w:val="24"/>
          <w:shd w:val="clear" w:color="auto" w:fill="FFFFFF"/>
        </w:rPr>
        <w:t xml:space="preserve">E notes, due to differentiation </w:t>
      </w:r>
      <w:r w:rsidR="00EF0428" w:rsidRPr="004E2E14">
        <w:rPr>
          <w:rFonts w:ascii="Times New Roman" w:hAnsi="Times New Roman" w:cs="Times New Roman"/>
          <w:sz w:val="24"/>
          <w:szCs w:val="24"/>
          <w:shd w:val="clear" w:color="auto" w:fill="FFFFFF"/>
        </w:rPr>
        <w:t>“</w:t>
      </w:r>
      <w:r w:rsidRPr="004E2E14">
        <w:rPr>
          <w:rFonts w:ascii="Times New Roman" w:hAnsi="Times New Roman" w:cs="Times New Roman"/>
          <w:sz w:val="24"/>
          <w:szCs w:val="24"/>
          <w:shd w:val="clear" w:color="auto" w:fill="FFFFFF"/>
        </w:rPr>
        <w:t xml:space="preserve">the contours of the EU legal order have become rather </w:t>
      </w:r>
      <w:r w:rsidR="00DE3463" w:rsidRPr="004E2E14">
        <w:rPr>
          <w:rFonts w:ascii="Times New Roman" w:hAnsi="Times New Roman" w:cs="Times New Roman"/>
          <w:sz w:val="24"/>
          <w:szCs w:val="24"/>
          <w:shd w:val="clear" w:color="auto" w:fill="FFFFFF"/>
        </w:rPr>
        <w:t>fuzzy</w:t>
      </w:r>
      <w:r w:rsidR="004E6C8E" w:rsidRPr="004E2E14">
        <w:rPr>
          <w:rFonts w:ascii="Times New Roman" w:hAnsi="Times New Roman" w:cs="Times New Roman"/>
          <w:sz w:val="24"/>
          <w:szCs w:val="24"/>
          <w:shd w:val="clear" w:color="auto" w:fill="FFFFFF"/>
        </w:rPr>
        <w:t>,”</w:t>
      </w:r>
      <w:r w:rsidR="00DE3463" w:rsidRPr="004E2E14">
        <w:rPr>
          <w:rFonts w:ascii="Times New Roman" w:hAnsi="Times New Roman" w:cs="Times New Roman"/>
          <w:sz w:val="24"/>
          <w:szCs w:val="24"/>
          <w:shd w:val="clear" w:color="auto" w:fill="FFFFFF"/>
        </w:rPr>
        <w:t xml:space="preserve"> to the point that the </w:t>
      </w:r>
      <w:r w:rsidR="007210BF" w:rsidRPr="004E2E14">
        <w:rPr>
          <w:rFonts w:ascii="Times New Roman" w:hAnsi="Times New Roman" w:cs="Times New Roman"/>
          <w:sz w:val="24"/>
          <w:szCs w:val="24"/>
          <w:shd w:val="clear" w:color="auto" w:fill="FFFFFF"/>
        </w:rPr>
        <w:t>CJEU</w:t>
      </w:r>
      <w:r w:rsidR="00DE3463" w:rsidRPr="004E2E14">
        <w:rPr>
          <w:rFonts w:ascii="Times New Roman" w:hAnsi="Times New Roman" w:cs="Times New Roman"/>
          <w:sz w:val="24"/>
          <w:szCs w:val="24"/>
          <w:shd w:val="clear" w:color="auto" w:fill="FFFFFF"/>
        </w:rPr>
        <w:t xml:space="preserve">’s «old ideal of EU legal rules being </w:t>
      </w:r>
      <w:r w:rsidR="007210BF" w:rsidRPr="004E2E14">
        <w:rPr>
          <w:rFonts w:ascii="Times New Roman" w:hAnsi="Times New Roman" w:cs="Times New Roman"/>
          <w:sz w:val="24"/>
          <w:szCs w:val="24"/>
          <w:shd w:val="clear" w:color="auto" w:fill="FFFFFF"/>
        </w:rPr>
        <w:t>“</w:t>
      </w:r>
      <w:r w:rsidR="00DE3463" w:rsidRPr="004E2E14">
        <w:rPr>
          <w:rFonts w:ascii="Times New Roman" w:hAnsi="Times New Roman" w:cs="Times New Roman"/>
          <w:sz w:val="24"/>
          <w:szCs w:val="24"/>
          <w:shd w:val="clear" w:color="auto" w:fill="FFFFFF"/>
        </w:rPr>
        <w:t>fully applicable at the same time and with identical effects over the whole territory of the community</w:t>
      </w:r>
      <w:r w:rsidR="007210BF" w:rsidRPr="004E2E14">
        <w:rPr>
          <w:rFonts w:ascii="Times New Roman" w:hAnsi="Times New Roman" w:cs="Times New Roman"/>
          <w:sz w:val="24"/>
          <w:szCs w:val="24"/>
          <w:shd w:val="clear" w:color="auto" w:fill="FFFFFF"/>
        </w:rPr>
        <w:t>”</w:t>
      </w:r>
      <w:r w:rsidR="00DE3463" w:rsidRPr="004E2E14">
        <w:rPr>
          <w:rFonts w:ascii="Times New Roman" w:hAnsi="Times New Roman" w:cs="Times New Roman"/>
          <w:sz w:val="24"/>
          <w:szCs w:val="24"/>
          <w:shd w:val="clear" w:color="auto" w:fill="FFFFFF"/>
        </w:rPr>
        <w:t xml:space="preserve"> has become unattainable».</w:t>
      </w:r>
      <w:r w:rsidR="00DE3463" w:rsidRPr="004E2E14">
        <w:rPr>
          <w:rStyle w:val="Refdenotaalpie"/>
          <w:rFonts w:ascii="Times New Roman" w:hAnsi="Times New Roman" w:cs="Times New Roman"/>
          <w:sz w:val="24"/>
          <w:szCs w:val="24"/>
          <w:shd w:val="clear" w:color="auto" w:fill="FFFFFF"/>
        </w:rPr>
        <w:footnoteReference w:id="34"/>
      </w:r>
    </w:p>
    <w:p w14:paraId="08522F85" w14:textId="77777777" w:rsidR="00EF0428" w:rsidRPr="004E2E14" w:rsidRDefault="00F909C0"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Furthermore, a</w:t>
      </w:r>
      <w:r w:rsidR="00601149" w:rsidRPr="004E2E14">
        <w:rPr>
          <w:rFonts w:ascii="Times New Roman" w:hAnsi="Times New Roman" w:cs="Times New Roman"/>
          <w:sz w:val="24"/>
          <w:szCs w:val="24"/>
          <w:shd w:val="clear" w:color="auto" w:fill="FFFFFF"/>
        </w:rPr>
        <w:t xml:space="preserve"> new form of disintegration </w:t>
      </w:r>
      <w:r w:rsidR="0000382D" w:rsidRPr="004E2E14">
        <w:rPr>
          <w:rFonts w:ascii="Times New Roman" w:hAnsi="Times New Roman" w:cs="Times New Roman"/>
          <w:sz w:val="24"/>
          <w:szCs w:val="24"/>
          <w:shd w:val="clear" w:color="auto" w:fill="FFFFFF"/>
        </w:rPr>
        <w:t xml:space="preserve">arises. We are referring to </w:t>
      </w:r>
      <w:r w:rsidRPr="004E2E14">
        <w:rPr>
          <w:rFonts w:ascii="Times New Roman" w:hAnsi="Times New Roman" w:cs="Times New Roman"/>
          <w:sz w:val="24"/>
          <w:szCs w:val="24"/>
          <w:shd w:val="clear" w:color="auto" w:fill="FFFFFF"/>
        </w:rPr>
        <w:t>some</w:t>
      </w:r>
      <w:r w:rsidR="0000382D" w:rsidRPr="004E2E14">
        <w:rPr>
          <w:rFonts w:ascii="Times New Roman" w:hAnsi="Times New Roman" w:cs="Times New Roman"/>
          <w:sz w:val="24"/>
          <w:szCs w:val="24"/>
          <w:shd w:val="clear" w:color="auto" w:fill="FFFFFF"/>
        </w:rPr>
        <w:t xml:space="preserve"> national resistance in </w:t>
      </w:r>
      <w:r w:rsidR="00601149" w:rsidRPr="004E2E14">
        <w:rPr>
          <w:rFonts w:ascii="Times New Roman" w:hAnsi="Times New Roman" w:cs="Times New Roman"/>
          <w:sz w:val="24"/>
          <w:szCs w:val="24"/>
          <w:shd w:val="clear" w:color="auto" w:fill="FFFFFF"/>
        </w:rPr>
        <w:t>to respect the primacy of the EU</w:t>
      </w:r>
      <w:r w:rsidRPr="004E2E14">
        <w:rPr>
          <w:rFonts w:ascii="Times New Roman" w:hAnsi="Times New Roman" w:cs="Times New Roman"/>
          <w:sz w:val="24"/>
          <w:szCs w:val="24"/>
          <w:shd w:val="clear" w:color="auto" w:fill="FFFFFF"/>
        </w:rPr>
        <w:t xml:space="preserve"> law</w:t>
      </w:r>
      <w:r w:rsidR="0021697B" w:rsidRPr="004E2E14">
        <w:rPr>
          <w:rFonts w:ascii="Times New Roman" w:hAnsi="Times New Roman" w:cs="Times New Roman"/>
          <w:sz w:val="24"/>
          <w:szCs w:val="24"/>
          <w:shd w:val="clear" w:color="auto" w:fill="FFFFFF"/>
        </w:rPr>
        <w:t xml:space="preserve"> to which the states have expressly committed themselves</w:t>
      </w:r>
      <w:r w:rsidR="0011542E" w:rsidRPr="004E2E14">
        <w:rPr>
          <w:rFonts w:ascii="Times New Roman" w:hAnsi="Times New Roman" w:cs="Times New Roman"/>
          <w:sz w:val="24"/>
          <w:szCs w:val="24"/>
          <w:shd w:val="clear" w:color="auto" w:fill="FFFFFF"/>
        </w:rPr>
        <w:t xml:space="preserve"> and which is, moreover, a condition that any state wishing to become a member of the Union must fulfil</w:t>
      </w:r>
      <w:r w:rsidR="0011542E" w:rsidRPr="004E2E14">
        <w:rPr>
          <w:rStyle w:val="Refdenotaalpie"/>
          <w:rFonts w:ascii="Times New Roman" w:hAnsi="Times New Roman" w:cs="Times New Roman"/>
          <w:sz w:val="24"/>
          <w:szCs w:val="24"/>
          <w:shd w:val="clear" w:color="auto" w:fill="FFFFFF"/>
        </w:rPr>
        <w:footnoteReference w:id="35"/>
      </w:r>
      <w:r w:rsidR="00601149" w:rsidRPr="004E2E14">
        <w:rPr>
          <w:rFonts w:ascii="Times New Roman" w:hAnsi="Times New Roman" w:cs="Times New Roman"/>
          <w:sz w:val="24"/>
          <w:szCs w:val="24"/>
          <w:shd w:val="clear" w:color="auto" w:fill="FFFFFF"/>
        </w:rPr>
        <w:t>.</w:t>
      </w:r>
      <w:r w:rsidR="00EF0428" w:rsidRPr="004E2E14">
        <w:rPr>
          <w:rFonts w:ascii="Times New Roman" w:hAnsi="Times New Roman" w:cs="Times New Roman"/>
          <w:sz w:val="24"/>
          <w:szCs w:val="24"/>
          <w:shd w:val="clear" w:color="auto" w:fill="FFFFFF"/>
        </w:rPr>
        <w:t xml:space="preserve"> </w:t>
      </w:r>
    </w:p>
    <w:p w14:paraId="67733181" w14:textId="3D451CDA" w:rsidR="00EF0428" w:rsidRPr="004E2E14" w:rsidRDefault="00EF0428"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 xml:space="preserve">However, an issue related to the </w:t>
      </w:r>
      <w:r w:rsidR="00062F6C">
        <w:rPr>
          <w:rFonts w:ascii="Times New Roman" w:hAnsi="Times New Roman" w:cs="Times New Roman"/>
          <w:sz w:val="24"/>
          <w:szCs w:val="24"/>
          <w:shd w:val="clear" w:color="auto" w:fill="FFFFFF"/>
        </w:rPr>
        <w:t>Rule of Law</w:t>
      </w:r>
      <w:r w:rsidRPr="004E2E14">
        <w:rPr>
          <w:rFonts w:ascii="Times New Roman" w:hAnsi="Times New Roman" w:cs="Times New Roman"/>
          <w:sz w:val="24"/>
          <w:szCs w:val="24"/>
          <w:shd w:val="clear" w:color="auto" w:fill="FFFFFF"/>
        </w:rPr>
        <w:t xml:space="preserve"> in just one Member State is enough to impact the Union as a whole and can be considered a dangerous precedent</w:t>
      </w:r>
      <w:r w:rsidRPr="004E2E14">
        <w:rPr>
          <w:rFonts w:ascii="Times New Roman" w:hAnsi="Times New Roman" w:cs="Times New Roman"/>
          <w:sz w:val="24"/>
          <w:szCs w:val="24"/>
        </w:rPr>
        <w:t xml:space="preserve"> </w:t>
      </w:r>
      <w:r w:rsidRPr="004E2E14">
        <w:rPr>
          <w:rFonts w:ascii="Times New Roman" w:hAnsi="Times New Roman" w:cs="Times New Roman"/>
          <w:sz w:val="24"/>
          <w:szCs w:val="24"/>
          <w:shd w:val="clear" w:color="auto" w:fill="FFFFFF"/>
        </w:rPr>
        <w:t xml:space="preserve">since it undermines trust between </w:t>
      </w:r>
      <w:r w:rsidR="00062F6C">
        <w:rPr>
          <w:rFonts w:ascii="Times New Roman" w:hAnsi="Times New Roman" w:cs="Times New Roman"/>
          <w:sz w:val="24"/>
          <w:szCs w:val="24"/>
          <w:shd w:val="clear" w:color="auto" w:fill="FFFFFF"/>
        </w:rPr>
        <w:t>Member States</w:t>
      </w:r>
      <w:r w:rsidRPr="004E2E14">
        <w:rPr>
          <w:rFonts w:ascii="Times New Roman" w:hAnsi="Times New Roman" w:cs="Times New Roman"/>
          <w:sz w:val="24"/>
          <w:szCs w:val="24"/>
          <w:shd w:val="clear" w:color="auto" w:fill="FFFFFF"/>
        </w:rPr>
        <w:t xml:space="preserve"> and the very principle of solidarity, an instrument for implementing the primacy, unity</w:t>
      </w:r>
      <w:r w:rsidR="00ED42B1">
        <w:rPr>
          <w:rFonts w:ascii="Times New Roman" w:hAnsi="Times New Roman" w:cs="Times New Roman"/>
          <w:sz w:val="24"/>
          <w:szCs w:val="24"/>
          <w:shd w:val="clear" w:color="auto" w:fill="FFFFFF"/>
        </w:rPr>
        <w:t>,</w:t>
      </w:r>
      <w:r w:rsidRPr="004E2E14">
        <w:rPr>
          <w:rFonts w:ascii="Times New Roman" w:hAnsi="Times New Roman" w:cs="Times New Roman"/>
          <w:sz w:val="24"/>
          <w:szCs w:val="24"/>
          <w:shd w:val="clear" w:color="auto" w:fill="FFFFFF"/>
        </w:rPr>
        <w:t xml:space="preserve"> and effectiveness of EU law.</w:t>
      </w:r>
      <w:r w:rsidRPr="004E2E14">
        <w:rPr>
          <w:rStyle w:val="Refdenotaalpie"/>
          <w:rFonts w:ascii="Times New Roman" w:hAnsi="Times New Roman" w:cs="Times New Roman"/>
          <w:sz w:val="24"/>
          <w:szCs w:val="24"/>
          <w:shd w:val="clear" w:color="auto" w:fill="FFFFFF"/>
        </w:rPr>
        <w:footnoteReference w:id="36"/>
      </w:r>
    </w:p>
    <w:p w14:paraId="02C5C476" w14:textId="3DBB00AE" w:rsidR="000A2259" w:rsidRPr="004E2E14" w:rsidRDefault="00EF0428"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That said, w</w:t>
      </w:r>
      <w:r w:rsidR="000A2259" w:rsidRPr="004E2E14">
        <w:rPr>
          <w:rFonts w:ascii="Times New Roman" w:hAnsi="Times New Roman" w:cs="Times New Roman"/>
          <w:sz w:val="24"/>
          <w:szCs w:val="24"/>
          <w:shd w:val="clear" w:color="auto" w:fill="FFFFFF"/>
        </w:rPr>
        <w:t xml:space="preserve">e have </w:t>
      </w:r>
      <w:r w:rsidR="00C00086" w:rsidRPr="004E2E14">
        <w:rPr>
          <w:rFonts w:ascii="Times New Roman" w:hAnsi="Times New Roman" w:cs="Times New Roman"/>
          <w:sz w:val="24"/>
          <w:szCs w:val="24"/>
          <w:shd w:val="clear" w:color="auto" w:fill="FFFFFF"/>
        </w:rPr>
        <w:t xml:space="preserve">already </w:t>
      </w:r>
      <w:r w:rsidR="000A2259" w:rsidRPr="004E2E14">
        <w:rPr>
          <w:rFonts w:ascii="Times New Roman" w:hAnsi="Times New Roman" w:cs="Times New Roman"/>
          <w:sz w:val="24"/>
          <w:szCs w:val="24"/>
          <w:shd w:val="clear" w:color="auto" w:fill="FFFFFF"/>
        </w:rPr>
        <w:t xml:space="preserve">witnessed </w:t>
      </w:r>
      <w:r w:rsidR="00595D45" w:rsidRPr="004E2E14">
        <w:rPr>
          <w:rFonts w:ascii="Times New Roman" w:hAnsi="Times New Roman" w:cs="Times New Roman"/>
          <w:sz w:val="24"/>
          <w:szCs w:val="24"/>
          <w:shd w:val="clear" w:color="auto" w:fill="FFFFFF"/>
        </w:rPr>
        <w:t>the Union’s</w:t>
      </w:r>
      <w:r w:rsidR="000A2259" w:rsidRPr="004E2E14">
        <w:rPr>
          <w:rFonts w:ascii="Times New Roman" w:hAnsi="Times New Roman" w:cs="Times New Roman"/>
          <w:sz w:val="24"/>
          <w:szCs w:val="24"/>
          <w:shd w:val="clear" w:color="auto" w:fill="FFFFFF"/>
        </w:rPr>
        <w:t xml:space="preserve"> fundamental values and principles, including the </w:t>
      </w:r>
      <w:r w:rsidR="00062F6C">
        <w:rPr>
          <w:rFonts w:ascii="Times New Roman" w:hAnsi="Times New Roman" w:cs="Times New Roman"/>
          <w:sz w:val="24"/>
          <w:szCs w:val="24"/>
          <w:shd w:val="clear" w:color="auto" w:fill="FFFFFF"/>
        </w:rPr>
        <w:t>Rule of Law</w:t>
      </w:r>
      <w:r w:rsidR="000A2259" w:rsidRPr="004E2E14">
        <w:rPr>
          <w:rFonts w:ascii="Times New Roman" w:hAnsi="Times New Roman" w:cs="Times New Roman"/>
          <w:sz w:val="24"/>
          <w:szCs w:val="24"/>
          <w:shd w:val="clear" w:color="auto" w:fill="FFFFFF"/>
        </w:rPr>
        <w:t xml:space="preserve">, being under pressure. And if the </w:t>
      </w:r>
      <w:r w:rsidR="00062F6C">
        <w:rPr>
          <w:rFonts w:ascii="Times New Roman" w:hAnsi="Times New Roman" w:cs="Times New Roman"/>
          <w:sz w:val="24"/>
          <w:szCs w:val="24"/>
          <w:shd w:val="clear" w:color="auto" w:fill="FFFFFF"/>
        </w:rPr>
        <w:t>Rule of Law</w:t>
      </w:r>
      <w:r w:rsidR="000A2259" w:rsidRPr="004E2E14">
        <w:rPr>
          <w:rFonts w:ascii="Times New Roman" w:hAnsi="Times New Roman" w:cs="Times New Roman"/>
          <w:sz w:val="24"/>
          <w:szCs w:val="24"/>
          <w:shd w:val="clear" w:color="auto" w:fill="FFFFFF"/>
        </w:rPr>
        <w:t xml:space="preserve"> is not properly protected in all </w:t>
      </w:r>
      <w:r w:rsidR="00062F6C">
        <w:rPr>
          <w:rFonts w:ascii="Times New Roman" w:hAnsi="Times New Roman" w:cs="Times New Roman"/>
          <w:sz w:val="24"/>
          <w:szCs w:val="24"/>
          <w:shd w:val="clear" w:color="auto" w:fill="FFFFFF"/>
        </w:rPr>
        <w:t>Member States</w:t>
      </w:r>
      <w:r w:rsidR="000A2259" w:rsidRPr="004E2E14">
        <w:rPr>
          <w:rFonts w:ascii="Times New Roman" w:hAnsi="Times New Roman" w:cs="Times New Roman"/>
          <w:sz w:val="24"/>
          <w:szCs w:val="24"/>
          <w:shd w:val="clear" w:color="auto" w:fill="FFFFFF"/>
        </w:rPr>
        <w:t xml:space="preserve">, the Union’s foundation stone of solidarity, cohesion, and the trust necessary for mutual recognition of national decisions and the functioning of the internal market, will be in danger, what can also impact on the economy, just as effective </w:t>
      </w:r>
      <w:r w:rsidR="000A2259" w:rsidRPr="004E2E14">
        <w:rPr>
          <w:rFonts w:ascii="Times New Roman" w:hAnsi="Times New Roman" w:cs="Times New Roman"/>
          <w:sz w:val="24"/>
          <w:szCs w:val="24"/>
          <w:shd w:val="clear" w:color="auto" w:fill="FFFFFF"/>
        </w:rPr>
        <w:lastRenderedPageBreak/>
        <w:t>judicial systems and strong anti-corruption frameworks are crucial for a well-functioning business environment and sound public finances.</w:t>
      </w:r>
      <w:r w:rsidR="000A2259" w:rsidRPr="004E2E14">
        <w:rPr>
          <w:rStyle w:val="Refdenotaalpie"/>
          <w:rFonts w:ascii="Times New Roman" w:hAnsi="Times New Roman" w:cs="Times New Roman"/>
          <w:sz w:val="24"/>
          <w:szCs w:val="24"/>
          <w:shd w:val="clear" w:color="auto" w:fill="FFFFFF"/>
        </w:rPr>
        <w:footnoteReference w:id="37"/>
      </w:r>
      <w:r w:rsidR="000A2259" w:rsidRPr="004E2E14">
        <w:rPr>
          <w:rFonts w:ascii="Times New Roman" w:hAnsi="Times New Roman" w:cs="Times New Roman"/>
          <w:sz w:val="24"/>
          <w:szCs w:val="24"/>
          <w:shd w:val="clear" w:color="auto" w:fill="FFFFFF"/>
        </w:rPr>
        <w:t xml:space="preserve"> </w:t>
      </w:r>
    </w:p>
    <w:p w14:paraId="39F5E483" w14:textId="453408E8" w:rsidR="00617227" w:rsidRPr="004E2E14" w:rsidRDefault="00FA1690"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In parallel with the financial crisis</w:t>
      </w:r>
      <w:r w:rsidR="00ED42B1">
        <w:rPr>
          <w:rFonts w:ascii="Times New Roman" w:hAnsi="Times New Roman" w:cs="Times New Roman"/>
          <w:sz w:val="24"/>
          <w:szCs w:val="24"/>
          <w:shd w:val="clear" w:color="auto" w:fill="FFFFFF"/>
        </w:rPr>
        <w:t>,</w:t>
      </w:r>
      <w:r w:rsidRPr="004E2E14">
        <w:rPr>
          <w:rFonts w:ascii="Times New Roman" w:hAnsi="Times New Roman" w:cs="Times New Roman"/>
          <w:sz w:val="24"/>
          <w:szCs w:val="24"/>
          <w:shd w:val="clear" w:color="auto" w:fill="FFFFFF"/>
        </w:rPr>
        <w:t xml:space="preserve"> which the EU and its </w:t>
      </w:r>
      <w:r w:rsidR="00062F6C">
        <w:rPr>
          <w:rFonts w:ascii="Times New Roman" w:hAnsi="Times New Roman" w:cs="Times New Roman"/>
          <w:sz w:val="24"/>
          <w:szCs w:val="24"/>
          <w:shd w:val="clear" w:color="auto" w:fill="FFFFFF"/>
        </w:rPr>
        <w:t>Member States</w:t>
      </w:r>
      <w:r w:rsidRPr="004E2E14">
        <w:rPr>
          <w:rFonts w:ascii="Times New Roman" w:hAnsi="Times New Roman" w:cs="Times New Roman"/>
          <w:sz w:val="24"/>
          <w:szCs w:val="24"/>
          <w:shd w:val="clear" w:color="auto" w:fill="FFFFFF"/>
        </w:rPr>
        <w:t xml:space="preserve"> have lived through since 2009, the Union </w:t>
      </w:r>
      <w:r w:rsidR="00427F56" w:rsidRPr="004E2E14">
        <w:rPr>
          <w:rFonts w:ascii="Times New Roman" w:hAnsi="Times New Roman" w:cs="Times New Roman"/>
          <w:sz w:val="24"/>
          <w:szCs w:val="24"/>
          <w:shd w:val="clear" w:color="auto" w:fill="FFFFFF"/>
        </w:rPr>
        <w:t>has</w:t>
      </w:r>
      <w:r w:rsidRPr="004E2E14">
        <w:rPr>
          <w:rFonts w:ascii="Times New Roman" w:hAnsi="Times New Roman" w:cs="Times New Roman"/>
          <w:sz w:val="24"/>
          <w:szCs w:val="24"/>
          <w:shd w:val="clear" w:color="auto" w:fill="FFFFFF"/>
        </w:rPr>
        <w:t xml:space="preserve"> also been confronted on several oc</w:t>
      </w:r>
      <w:r w:rsidR="006C7FD3" w:rsidRPr="004E2E14">
        <w:rPr>
          <w:rFonts w:ascii="Times New Roman" w:hAnsi="Times New Roman" w:cs="Times New Roman"/>
          <w:sz w:val="24"/>
          <w:szCs w:val="24"/>
          <w:shd w:val="clear" w:color="auto" w:fill="FFFFFF"/>
        </w:rPr>
        <w:t xml:space="preserve">casions with a true </w:t>
      </w:r>
      <w:r w:rsidR="00062F6C">
        <w:rPr>
          <w:rFonts w:ascii="Times New Roman" w:hAnsi="Times New Roman" w:cs="Times New Roman"/>
          <w:sz w:val="24"/>
          <w:szCs w:val="24"/>
          <w:shd w:val="clear" w:color="auto" w:fill="FFFFFF"/>
        </w:rPr>
        <w:t>Rule of Law</w:t>
      </w:r>
      <w:r w:rsidR="006C7FD3" w:rsidRPr="004E2E14">
        <w:rPr>
          <w:rFonts w:ascii="Times New Roman" w:hAnsi="Times New Roman" w:cs="Times New Roman"/>
          <w:sz w:val="24"/>
          <w:szCs w:val="24"/>
          <w:shd w:val="clear" w:color="auto" w:fill="FFFFFF"/>
        </w:rPr>
        <w:t xml:space="preserve"> crisis.</w:t>
      </w:r>
      <w:r w:rsidR="006C7FD3" w:rsidRPr="004E2E14">
        <w:rPr>
          <w:rStyle w:val="Refdenotaalpie"/>
          <w:rFonts w:ascii="Times New Roman" w:hAnsi="Times New Roman" w:cs="Times New Roman"/>
          <w:sz w:val="24"/>
          <w:szCs w:val="24"/>
          <w:shd w:val="clear" w:color="auto" w:fill="FFFFFF"/>
        </w:rPr>
        <w:footnoteReference w:id="38"/>
      </w:r>
      <w:r w:rsidR="004875CF" w:rsidRPr="004E2E14">
        <w:rPr>
          <w:rFonts w:ascii="Times New Roman" w:hAnsi="Times New Roman" w:cs="Times New Roman"/>
          <w:sz w:val="24"/>
          <w:szCs w:val="24"/>
          <w:shd w:val="clear" w:color="auto" w:fill="FFFFFF"/>
        </w:rPr>
        <w:t xml:space="preserve"> The crisis, included</w:t>
      </w:r>
      <w:r w:rsidR="00EF0428" w:rsidRPr="004E2E14">
        <w:rPr>
          <w:rFonts w:ascii="Times New Roman" w:hAnsi="Times New Roman" w:cs="Times New Roman"/>
          <w:sz w:val="24"/>
          <w:szCs w:val="24"/>
          <w:shd w:val="clear" w:color="auto" w:fill="FFFFFF"/>
        </w:rPr>
        <w:t>, for instance,</w:t>
      </w:r>
      <w:r w:rsidR="004875CF" w:rsidRPr="004E2E14">
        <w:rPr>
          <w:rFonts w:ascii="Times New Roman" w:hAnsi="Times New Roman" w:cs="Times New Roman"/>
          <w:sz w:val="24"/>
          <w:szCs w:val="24"/>
          <w:shd w:val="clear" w:color="auto" w:fill="FFFFFF"/>
        </w:rPr>
        <w:t xml:space="preserve"> the </w:t>
      </w:r>
      <w:r w:rsidR="004875CF" w:rsidRPr="004E2E14">
        <w:rPr>
          <w:rFonts w:ascii="Times New Roman" w:hAnsi="Times New Roman" w:cs="Times New Roman"/>
          <w:i/>
          <w:iCs/>
          <w:sz w:val="24"/>
          <w:szCs w:val="24"/>
          <w:shd w:val="clear" w:color="auto" w:fill="FFFFFF"/>
        </w:rPr>
        <w:t>en masse</w:t>
      </w:r>
      <w:r w:rsidR="004875CF" w:rsidRPr="004E2E14">
        <w:rPr>
          <w:rFonts w:ascii="Times New Roman" w:hAnsi="Times New Roman" w:cs="Times New Roman"/>
          <w:sz w:val="24"/>
          <w:szCs w:val="24"/>
          <w:shd w:val="clear" w:color="auto" w:fill="FFFFFF"/>
        </w:rPr>
        <w:t xml:space="preserve"> expulsion in 2010 by the French government of almost 1,000 members of the Roma minority to Romania and Bulgaria; the 2011-12 campaign of Hungarian Prime Minister Viktor Orbán to overcome judicial opposition and bend judicial independence by forcing some ten-percent of Hungarian judges and public prosecutors into early retirement; and the 2012-13 constitutional crisis in Romania, where the government refused to adhere to the judgments of the country’s Supreme Court.</w:t>
      </w:r>
      <w:r w:rsidR="004875CF" w:rsidRPr="004E2E14">
        <w:rPr>
          <w:rStyle w:val="Refdenotaalpie"/>
          <w:rFonts w:ascii="Times New Roman" w:hAnsi="Times New Roman" w:cs="Times New Roman"/>
          <w:sz w:val="24"/>
          <w:szCs w:val="24"/>
          <w:shd w:val="clear" w:color="auto" w:fill="FFFFFF"/>
        </w:rPr>
        <w:footnoteReference w:id="39"/>
      </w:r>
      <w:r w:rsidR="00EF0428" w:rsidRPr="004E2E14">
        <w:rPr>
          <w:rFonts w:ascii="Times New Roman" w:hAnsi="Times New Roman" w:cs="Times New Roman"/>
          <w:sz w:val="24"/>
          <w:szCs w:val="24"/>
          <w:shd w:val="clear" w:color="auto" w:fill="FFFFFF"/>
        </w:rPr>
        <w:t xml:space="preserve"> </w:t>
      </w:r>
      <w:r w:rsidRPr="004E2E14">
        <w:rPr>
          <w:rFonts w:ascii="Times New Roman" w:hAnsi="Times New Roman" w:cs="Times New Roman"/>
          <w:sz w:val="24"/>
          <w:szCs w:val="24"/>
          <w:shd w:val="clear" w:color="auto" w:fill="FFFFFF"/>
        </w:rPr>
        <w:t>More recently, i</w:t>
      </w:r>
      <w:r w:rsidR="00407296" w:rsidRPr="004E2E14">
        <w:rPr>
          <w:rFonts w:ascii="Times New Roman" w:hAnsi="Times New Roman" w:cs="Times New Roman"/>
          <w:sz w:val="24"/>
          <w:szCs w:val="24"/>
          <w:shd w:val="clear" w:color="auto" w:fill="FFFFFF"/>
        </w:rPr>
        <w:t xml:space="preserve">n </w:t>
      </w:r>
      <w:r w:rsidR="00BF4D2C" w:rsidRPr="004E2E14">
        <w:rPr>
          <w:rFonts w:ascii="Times New Roman" w:hAnsi="Times New Roman" w:cs="Times New Roman"/>
          <w:sz w:val="24"/>
          <w:szCs w:val="24"/>
          <w:shd w:val="clear" w:color="auto" w:fill="FFFFFF"/>
        </w:rPr>
        <w:t xml:space="preserve">2020, the German Constitutional Court directly challenged a </w:t>
      </w:r>
      <w:r w:rsidR="00ED42B1">
        <w:rPr>
          <w:rFonts w:ascii="Times New Roman" w:hAnsi="Times New Roman" w:cs="Times New Roman"/>
          <w:sz w:val="24"/>
          <w:szCs w:val="24"/>
          <w:shd w:val="clear" w:color="auto" w:fill="FFFFFF"/>
        </w:rPr>
        <w:t>judgment</w:t>
      </w:r>
      <w:r w:rsidR="00BF4D2C" w:rsidRPr="004E2E14">
        <w:rPr>
          <w:rFonts w:ascii="Times New Roman" w:hAnsi="Times New Roman" w:cs="Times New Roman"/>
          <w:sz w:val="24"/>
          <w:szCs w:val="24"/>
          <w:shd w:val="clear" w:color="auto" w:fill="FFFFFF"/>
        </w:rPr>
        <w:t xml:space="preserve"> of the CJ</w:t>
      </w:r>
      <w:r w:rsidR="007210BF" w:rsidRPr="004E2E14">
        <w:rPr>
          <w:rFonts w:ascii="Times New Roman" w:hAnsi="Times New Roman" w:cs="Times New Roman"/>
          <w:sz w:val="24"/>
          <w:szCs w:val="24"/>
          <w:shd w:val="clear" w:color="auto" w:fill="FFFFFF"/>
        </w:rPr>
        <w:t>EU</w:t>
      </w:r>
      <w:r w:rsidR="00BF4D2C" w:rsidRPr="004E2E14">
        <w:rPr>
          <w:rFonts w:ascii="Times New Roman" w:hAnsi="Times New Roman" w:cs="Times New Roman"/>
          <w:sz w:val="24"/>
          <w:szCs w:val="24"/>
          <w:shd w:val="clear" w:color="auto" w:fill="FFFFFF"/>
        </w:rPr>
        <w:t xml:space="preserve"> on the European Central Bank’s Public Sector Purchase </w:t>
      </w:r>
      <w:r w:rsidR="00BF4D2C" w:rsidRPr="009C05B2">
        <w:rPr>
          <w:rFonts w:ascii="Times New Roman" w:hAnsi="Times New Roman" w:cs="Times New Roman"/>
          <w:sz w:val="24"/>
          <w:szCs w:val="24"/>
          <w:shd w:val="clear" w:color="auto" w:fill="FFFFFF"/>
        </w:rPr>
        <w:t>Programme</w:t>
      </w:r>
      <w:r w:rsidR="00115DC4" w:rsidRPr="004E2E14">
        <w:rPr>
          <w:rStyle w:val="Refdenotaalpie"/>
          <w:rFonts w:ascii="Times New Roman" w:hAnsi="Times New Roman" w:cs="Times New Roman"/>
          <w:sz w:val="24"/>
          <w:szCs w:val="24"/>
          <w:shd w:val="clear" w:color="auto" w:fill="FFFFFF"/>
        </w:rPr>
        <w:footnoteReference w:id="40"/>
      </w:r>
      <w:r w:rsidR="00BF4D2C" w:rsidRPr="004E2E14">
        <w:rPr>
          <w:rFonts w:ascii="Times New Roman" w:hAnsi="Times New Roman" w:cs="Times New Roman"/>
          <w:sz w:val="24"/>
          <w:szCs w:val="24"/>
          <w:shd w:val="clear" w:color="auto" w:fill="FFFFFF"/>
        </w:rPr>
        <w:t xml:space="preserve">. In </w:t>
      </w:r>
      <w:r w:rsidR="00407296" w:rsidRPr="004E2E14">
        <w:rPr>
          <w:rFonts w:ascii="Times New Roman" w:hAnsi="Times New Roman" w:cs="Times New Roman"/>
          <w:sz w:val="24"/>
          <w:szCs w:val="24"/>
          <w:shd w:val="clear" w:color="auto" w:fill="FFFFFF"/>
        </w:rPr>
        <w:t>2021, the Polish Constitutional Court</w:t>
      </w:r>
      <w:r w:rsidR="007210BF" w:rsidRPr="004E2E14">
        <w:rPr>
          <w:rFonts w:ascii="Times New Roman" w:hAnsi="Times New Roman" w:cs="Times New Roman"/>
          <w:sz w:val="24"/>
          <w:szCs w:val="24"/>
          <w:shd w:val="clear" w:color="auto" w:fill="FFFFFF"/>
        </w:rPr>
        <w:t>, challenging the primacy of EU law,</w:t>
      </w:r>
      <w:r w:rsidR="00407296" w:rsidRPr="004E2E14">
        <w:rPr>
          <w:rFonts w:ascii="Times New Roman" w:hAnsi="Times New Roman" w:cs="Times New Roman"/>
          <w:sz w:val="24"/>
          <w:szCs w:val="24"/>
          <w:shd w:val="clear" w:color="auto" w:fill="FFFFFF"/>
        </w:rPr>
        <w:t xml:space="preserve"> issued two rulings</w:t>
      </w:r>
      <w:r w:rsidR="00F909C0" w:rsidRPr="004E2E14">
        <w:rPr>
          <w:rFonts w:ascii="Times New Roman" w:hAnsi="Times New Roman" w:cs="Times New Roman"/>
          <w:sz w:val="24"/>
          <w:szCs w:val="24"/>
          <w:shd w:val="clear" w:color="auto" w:fill="FFFFFF"/>
        </w:rPr>
        <w:t>,</w:t>
      </w:r>
      <w:r w:rsidR="00407296" w:rsidRPr="004E2E14">
        <w:rPr>
          <w:rFonts w:ascii="Times New Roman" w:hAnsi="Times New Roman" w:cs="Times New Roman"/>
          <w:sz w:val="24"/>
          <w:szCs w:val="24"/>
          <w:shd w:val="clear" w:color="auto" w:fill="FFFFFF"/>
        </w:rPr>
        <w:t xml:space="preserve"> </w:t>
      </w:r>
      <w:r w:rsidR="0000382D" w:rsidRPr="004E2E14">
        <w:rPr>
          <w:rFonts w:ascii="Times New Roman" w:hAnsi="Times New Roman" w:cs="Times New Roman"/>
          <w:sz w:val="24"/>
          <w:szCs w:val="24"/>
          <w:shd w:val="clear" w:color="auto" w:fill="FFFFFF"/>
        </w:rPr>
        <w:t>on</w:t>
      </w:r>
      <w:r w:rsidR="0021697B" w:rsidRPr="004E2E14">
        <w:rPr>
          <w:rFonts w:ascii="Times New Roman" w:hAnsi="Times New Roman" w:cs="Times New Roman"/>
          <w:sz w:val="24"/>
          <w:szCs w:val="24"/>
          <w:shd w:val="clear" w:color="auto" w:fill="FFFFFF"/>
        </w:rPr>
        <w:t xml:space="preserve"> </w:t>
      </w:r>
      <w:r w:rsidR="00DA08C3" w:rsidRPr="004E2E14">
        <w:rPr>
          <w:rFonts w:ascii="Times New Roman" w:hAnsi="Times New Roman" w:cs="Times New Roman"/>
          <w:sz w:val="24"/>
          <w:szCs w:val="24"/>
          <w:shd w:val="clear" w:color="auto" w:fill="FFFFFF"/>
        </w:rPr>
        <w:t>14 July and 7 October</w:t>
      </w:r>
      <w:r w:rsidR="00407296" w:rsidRPr="004E2E14">
        <w:rPr>
          <w:rFonts w:ascii="Times New Roman" w:hAnsi="Times New Roman" w:cs="Times New Roman"/>
          <w:sz w:val="24"/>
          <w:szCs w:val="24"/>
          <w:shd w:val="clear" w:color="auto" w:fill="FFFFFF"/>
        </w:rPr>
        <w:t xml:space="preserve">, </w:t>
      </w:r>
      <w:r w:rsidR="00DA08C3" w:rsidRPr="004E2E14">
        <w:rPr>
          <w:rFonts w:ascii="Times New Roman" w:hAnsi="Times New Roman" w:cs="Times New Roman"/>
          <w:sz w:val="24"/>
          <w:szCs w:val="24"/>
          <w:shd w:val="clear" w:color="auto" w:fill="FFFFFF"/>
        </w:rPr>
        <w:t xml:space="preserve">considering the provisions of the EU Treaties incompatible with the Polish Constitution, </w:t>
      </w:r>
      <w:r w:rsidR="00BF4D2C" w:rsidRPr="004E2E14">
        <w:rPr>
          <w:rFonts w:ascii="Times New Roman" w:hAnsi="Times New Roman" w:cs="Times New Roman"/>
          <w:sz w:val="24"/>
          <w:szCs w:val="24"/>
          <w:shd w:val="clear" w:color="auto" w:fill="FFFFFF"/>
        </w:rPr>
        <w:t xml:space="preserve">also </w:t>
      </w:r>
      <w:r w:rsidR="00407296" w:rsidRPr="004E2E14">
        <w:rPr>
          <w:rFonts w:ascii="Times New Roman" w:hAnsi="Times New Roman" w:cs="Times New Roman"/>
          <w:sz w:val="24"/>
          <w:szCs w:val="24"/>
          <w:shd w:val="clear" w:color="auto" w:fill="FFFFFF"/>
        </w:rPr>
        <w:t xml:space="preserve">defying the </w:t>
      </w:r>
      <w:r w:rsidR="007210BF" w:rsidRPr="004E2E14">
        <w:rPr>
          <w:rFonts w:ascii="Times New Roman" w:hAnsi="Times New Roman" w:cs="Times New Roman"/>
          <w:sz w:val="24"/>
          <w:szCs w:val="24"/>
          <w:shd w:val="clear" w:color="auto" w:fill="FFFFFF"/>
        </w:rPr>
        <w:t>CJEU case-law</w:t>
      </w:r>
      <w:r w:rsidR="00187CCE" w:rsidRPr="004E2E14">
        <w:rPr>
          <w:rStyle w:val="Refdenotaalpie"/>
          <w:rFonts w:ascii="Times New Roman" w:hAnsi="Times New Roman" w:cs="Times New Roman"/>
          <w:sz w:val="24"/>
          <w:szCs w:val="24"/>
          <w:shd w:val="clear" w:color="auto" w:fill="FFFFFF"/>
        </w:rPr>
        <w:footnoteReference w:id="41"/>
      </w:r>
      <w:r w:rsidR="00BF4D2C" w:rsidRPr="004E2E14">
        <w:rPr>
          <w:rFonts w:ascii="Times New Roman" w:hAnsi="Times New Roman" w:cs="Times New Roman"/>
          <w:sz w:val="24"/>
          <w:szCs w:val="24"/>
          <w:shd w:val="clear" w:color="auto" w:fill="FFFFFF"/>
        </w:rPr>
        <w:t xml:space="preserve">, and </w:t>
      </w:r>
      <w:r w:rsidR="00407296" w:rsidRPr="004E2E14">
        <w:rPr>
          <w:rFonts w:ascii="Times New Roman" w:hAnsi="Times New Roman" w:cs="Times New Roman"/>
          <w:sz w:val="24"/>
          <w:szCs w:val="24"/>
          <w:shd w:val="clear" w:color="auto" w:fill="FFFFFF"/>
        </w:rPr>
        <w:t xml:space="preserve">the Romanian Constitutional Court banned lower courts from following a </w:t>
      </w:r>
      <w:r w:rsidR="001633AF" w:rsidRPr="004E2E14">
        <w:rPr>
          <w:rFonts w:ascii="Times New Roman" w:hAnsi="Times New Roman" w:cs="Times New Roman"/>
          <w:sz w:val="24"/>
          <w:szCs w:val="24"/>
          <w:shd w:val="clear" w:color="auto" w:fill="FFFFFF"/>
        </w:rPr>
        <w:t>CJEU</w:t>
      </w:r>
      <w:r w:rsidR="00BF4D2C" w:rsidRPr="004E2E14">
        <w:rPr>
          <w:rFonts w:ascii="Times New Roman" w:hAnsi="Times New Roman" w:cs="Times New Roman"/>
          <w:sz w:val="24"/>
          <w:szCs w:val="24"/>
          <w:shd w:val="clear" w:color="auto" w:fill="FFFFFF"/>
        </w:rPr>
        <w:t xml:space="preserve"> decision</w:t>
      </w:r>
      <w:r w:rsidR="00577B49" w:rsidRPr="004E2E14">
        <w:rPr>
          <w:rStyle w:val="Refdenotaalpie"/>
          <w:rFonts w:ascii="Times New Roman" w:hAnsi="Times New Roman" w:cs="Times New Roman"/>
          <w:sz w:val="24"/>
          <w:szCs w:val="24"/>
          <w:shd w:val="clear" w:color="auto" w:fill="FFFFFF"/>
        </w:rPr>
        <w:footnoteReference w:id="42"/>
      </w:r>
      <w:r w:rsidR="00577B49" w:rsidRPr="004E2E14">
        <w:rPr>
          <w:rFonts w:ascii="Times New Roman" w:hAnsi="Times New Roman" w:cs="Times New Roman"/>
          <w:sz w:val="24"/>
          <w:szCs w:val="24"/>
          <w:shd w:val="clear" w:color="auto" w:fill="FFFFFF"/>
        </w:rPr>
        <w:t>.</w:t>
      </w:r>
      <w:r w:rsidR="00407296" w:rsidRPr="004E2E14">
        <w:rPr>
          <w:rFonts w:ascii="Times New Roman" w:hAnsi="Times New Roman" w:cs="Times New Roman"/>
          <w:sz w:val="24"/>
          <w:szCs w:val="24"/>
          <w:shd w:val="clear" w:color="auto" w:fill="FFFFFF"/>
        </w:rPr>
        <w:t xml:space="preserve"> </w:t>
      </w:r>
    </w:p>
    <w:p w14:paraId="7B637F27" w14:textId="25AA99F2" w:rsidR="00EF0428" w:rsidRPr="004E2E14" w:rsidRDefault="00ED42B1" w:rsidP="001D12B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Some</w:t>
      </w:r>
      <w:r w:rsidR="00EF0428" w:rsidRPr="004E2E14">
        <w:rPr>
          <w:rFonts w:ascii="Times New Roman" w:hAnsi="Times New Roman" w:cs="Times New Roman"/>
          <w:sz w:val="24"/>
          <w:szCs w:val="24"/>
          <w:shd w:val="clear" w:color="auto" w:fill="FFFFFF"/>
        </w:rPr>
        <w:t xml:space="preserve"> politicians, mostly in Central and Eastern Europe new democracies, where </w:t>
      </w:r>
      <w:r w:rsidR="00062F6C">
        <w:rPr>
          <w:rFonts w:ascii="Times New Roman" w:hAnsi="Times New Roman" w:cs="Times New Roman"/>
          <w:sz w:val="24"/>
          <w:szCs w:val="24"/>
          <w:shd w:val="clear" w:color="auto" w:fill="FFFFFF"/>
        </w:rPr>
        <w:t>Rule of Law</w:t>
      </w:r>
      <w:r w:rsidR="00EF0428" w:rsidRPr="004E2E14">
        <w:rPr>
          <w:rFonts w:ascii="Times New Roman" w:hAnsi="Times New Roman" w:cs="Times New Roman"/>
          <w:sz w:val="24"/>
          <w:szCs w:val="24"/>
          <w:shd w:val="clear" w:color="auto" w:fill="FFFFFF"/>
        </w:rPr>
        <w:t xml:space="preserve"> institutions are relatively new, mobilized the founding value of democracy against the Commission’s vision of the Union, arguing that European Institutions want to switch off democratically constituted institutions of </w:t>
      </w:r>
      <w:r w:rsidR="00062F6C">
        <w:rPr>
          <w:rFonts w:ascii="Times New Roman" w:hAnsi="Times New Roman" w:cs="Times New Roman"/>
          <w:sz w:val="24"/>
          <w:szCs w:val="24"/>
          <w:shd w:val="clear" w:color="auto" w:fill="FFFFFF"/>
        </w:rPr>
        <w:t>Member States</w:t>
      </w:r>
      <w:r w:rsidR="00EF0428" w:rsidRPr="004E2E14">
        <w:rPr>
          <w:rStyle w:val="Refdenotaalpie"/>
          <w:rFonts w:ascii="Times New Roman" w:hAnsi="Times New Roman" w:cs="Times New Roman"/>
          <w:sz w:val="24"/>
          <w:szCs w:val="24"/>
          <w:shd w:val="clear" w:color="auto" w:fill="FFFFFF"/>
        </w:rPr>
        <w:footnoteReference w:id="43"/>
      </w:r>
      <w:r w:rsidR="00EF0428" w:rsidRPr="004E2E14">
        <w:rPr>
          <w:rFonts w:ascii="Times New Roman" w:hAnsi="Times New Roman" w:cs="Times New Roman"/>
          <w:sz w:val="24"/>
          <w:szCs w:val="24"/>
          <w:shd w:val="clear" w:color="auto" w:fill="FFFFFF"/>
        </w:rPr>
        <w:t>, and calling on Article 4</w:t>
      </w:r>
      <w:r w:rsidR="00C4175B">
        <w:rPr>
          <w:rFonts w:ascii="Times New Roman" w:hAnsi="Times New Roman" w:cs="Times New Roman"/>
          <w:sz w:val="24"/>
          <w:szCs w:val="24"/>
          <w:shd w:val="clear" w:color="auto" w:fill="FFFFFF"/>
        </w:rPr>
        <w:t>(</w:t>
      </w:r>
      <w:r w:rsidR="00EF0428" w:rsidRPr="004E2E14">
        <w:rPr>
          <w:rFonts w:ascii="Times New Roman" w:hAnsi="Times New Roman" w:cs="Times New Roman"/>
          <w:sz w:val="24"/>
          <w:szCs w:val="24"/>
          <w:shd w:val="clear" w:color="auto" w:fill="FFFFFF"/>
        </w:rPr>
        <w:t>2</w:t>
      </w:r>
      <w:r w:rsidR="00C4175B">
        <w:rPr>
          <w:rFonts w:ascii="Times New Roman" w:hAnsi="Times New Roman" w:cs="Times New Roman"/>
          <w:sz w:val="24"/>
          <w:szCs w:val="24"/>
          <w:shd w:val="clear" w:color="auto" w:fill="FFFFFF"/>
        </w:rPr>
        <w:t>)</w:t>
      </w:r>
      <w:r w:rsidR="00EF0428" w:rsidRPr="004E2E14">
        <w:rPr>
          <w:rFonts w:ascii="Times New Roman" w:hAnsi="Times New Roman" w:cs="Times New Roman"/>
          <w:sz w:val="24"/>
          <w:szCs w:val="24"/>
          <w:shd w:val="clear" w:color="auto" w:fill="FFFFFF"/>
        </w:rPr>
        <w:t xml:space="preserve"> TEU, which states that the Union shall respect the equality of </w:t>
      </w:r>
      <w:r w:rsidR="00062F6C">
        <w:rPr>
          <w:rFonts w:ascii="Times New Roman" w:hAnsi="Times New Roman" w:cs="Times New Roman"/>
          <w:sz w:val="24"/>
          <w:szCs w:val="24"/>
          <w:shd w:val="clear" w:color="auto" w:fill="FFFFFF"/>
        </w:rPr>
        <w:t>Member States</w:t>
      </w:r>
      <w:r w:rsidR="00EF0428" w:rsidRPr="004E2E14">
        <w:rPr>
          <w:rFonts w:ascii="Times New Roman" w:hAnsi="Times New Roman" w:cs="Times New Roman"/>
          <w:sz w:val="24"/>
          <w:szCs w:val="24"/>
          <w:shd w:val="clear" w:color="auto" w:fill="FFFFFF"/>
        </w:rPr>
        <w:t xml:space="preserve"> before the Treaties as well as their national identities, inherent in their fundamental structures. </w:t>
      </w:r>
    </w:p>
    <w:p w14:paraId="7F0C42EA" w14:textId="03CAA438" w:rsidR="00AF0E0A" w:rsidRDefault="00C60D1A"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T</w:t>
      </w:r>
      <w:r w:rsidR="00914818" w:rsidRPr="004E2E14">
        <w:rPr>
          <w:rFonts w:ascii="Times New Roman" w:hAnsi="Times New Roman" w:cs="Times New Roman"/>
          <w:sz w:val="24"/>
          <w:szCs w:val="24"/>
          <w:shd w:val="clear" w:color="auto" w:fill="FFFFFF"/>
        </w:rPr>
        <w:t xml:space="preserve">he </w:t>
      </w:r>
      <w:r w:rsidR="00ED42B1">
        <w:rPr>
          <w:rFonts w:ascii="Times New Roman" w:hAnsi="Times New Roman" w:cs="Times New Roman"/>
          <w:sz w:val="24"/>
          <w:szCs w:val="24"/>
          <w:shd w:val="clear" w:color="auto" w:fill="FFFFFF"/>
        </w:rPr>
        <w:t>COVID-19</w:t>
      </w:r>
      <w:r w:rsidR="00914818" w:rsidRPr="004E2E14">
        <w:rPr>
          <w:rFonts w:ascii="Times New Roman" w:hAnsi="Times New Roman" w:cs="Times New Roman"/>
          <w:sz w:val="24"/>
          <w:szCs w:val="24"/>
          <w:shd w:val="clear" w:color="auto" w:fill="FFFFFF"/>
        </w:rPr>
        <w:t xml:space="preserve"> pandemic</w:t>
      </w:r>
      <w:r w:rsidR="00814079">
        <w:rPr>
          <w:rFonts w:ascii="Times New Roman" w:hAnsi="Times New Roman" w:cs="Times New Roman"/>
          <w:sz w:val="24"/>
          <w:szCs w:val="24"/>
          <w:shd w:val="clear" w:color="auto" w:fill="FFFFFF"/>
        </w:rPr>
        <w:t>,</w:t>
      </w:r>
      <w:r w:rsidR="00914818" w:rsidRPr="004E2E14">
        <w:rPr>
          <w:rFonts w:ascii="Times New Roman" w:hAnsi="Times New Roman" w:cs="Times New Roman"/>
          <w:sz w:val="24"/>
          <w:szCs w:val="24"/>
          <w:shd w:val="clear" w:color="auto" w:fill="FFFFFF"/>
        </w:rPr>
        <w:t xml:space="preserve"> the war in Ukraine</w:t>
      </w:r>
      <w:r w:rsidR="00182C6F" w:rsidRPr="004E2E14">
        <w:rPr>
          <w:rFonts w:ascii="Times New Roman" w:hAnsi="Times New Roman" w:cs="Times New Roman"/>
          <w:sz w:val="24"/>
          <w:szCs w:val="24"/>
          <w:shd w:val="clear" w:color="auto" w:fill="FFFFFF"/>
        </w:rPr>
        <w:t>,</w:t>
      </w:r>
      <w:r w:rsidR="00914818" w:rsidRPr="004E2E14">
        <w:rPr>
          <w:rFonts w:ascii="Times New Roman" w:hAnsi="Times New Roman" w:cs="Times New Roman"/>
          <w:sz w:val="24"/>
          <w:szCs w:val="24"/>
          <w:shd w:val="clear" w:color="auto" w:fill="FFFFFF"/>
        </w:rPr>
        <w:t xml:space="preserve"> </w:t>
      </w:r>
      <w:r w:rsidR="00814079" w:rsidRPr="00814079">
        <w:rPr>
          <w:rFonts w:ascii="Times New Roman" w:hAnsi="Times New Roman" w:cs="Times New Roman"/>
          <w:sz w:val="24"/>
          <w:szCs w:val="24"/>
          <w:shd w:val="clear" w:color="auto" w:fill="FFFFFF"/>
        </w:rPr>
        <w:t>with no end in sight</w:t>
      </w:r>
      <w:r w:rsidR="00814079">
        <w:rPr>
          <w:rFonts w:ascii="Times New Roman" w:hAnsi="Times New Roman" w:cs="Times New Roman"/>
          <w:sz w:val="24"/>
          <w:szCs w:val="24"/>
          <w:shd w:val="clear" w:color="auto" w:fill="FFFFFF"/>
        </w:rPr>
        <w:t>, and</w:t>
      </w:r>
      <w:r w:rsidR="00914818" w:rsidRPr="004E2E14">
        <w:rPr>
          <w:rFonts w:ascii="Times New Roman" w:hAnsi="Times New Roman" w:cs="Times New Roman"/>
          <w:sz w:val="24"/>
          <w:szCs w:val="24"/>
          <w:shd w:val="clear" w:color="auto" w:fill="FFFFFF"/>
        </w:rPr>
        <w:t xml:space="preserve"> its consequences </w:t>
      </w:r>
      <w:r w:rsidRPr="004E2E14">
        <w:rPr>
          <w:rFonts w:ascii="Times New Roman" w:hAnsi="Times New Roman" w:cs="Times New Roman"/>
          <w:sz w:val="24"/>
          <w:szCs w:val="24"/>
          <w:shd w:val="clear" w:color="auto" w:fill="FFFFFF"/>
        </w:rPr>
        <w:t xml:space="preserve">and the need for emergency regimes, </w:t>
      </w:r>
      <w:r w:rsidR="009C05B2">
        <w:rPr>
          <w:rFonts w:ascii="Times New Roman" w:hAnsi="Times New Roman" w:cs="Times New Roman"/>
          <w:sz w:val="24"/>
          <w:szCs w:val="24"/>
          <w:shd w:val="clear" w:color="auto" w:fill="FFFFFF"/>
        </w:rPr>
        <w:t xml:space="preserve">and </w:t>
      </w:r>
      <w:r w:rsidR="009C05B2" w:rsidRPr="009C05B2">
        <w:rPr>
          <w:rFonts w:ascii="Times New Roman" w:hAnsi="Times New Roman" w:cs="Times New Roman"/>
          <w:sz w:val="24"/>
          <w:szCs w:val="24"/>
          <w:shd w:val="clear" w:color="auto" w:fill="FFFFFF"/>
        </w:rPr>
        <w:t xml:space="preserve">the resurgence of far-right </w:t>
      </w:r>
      <w:r w:rsidR="005A13B2">
        <w:rPr>
          <w:rFonts w:ascii="Times New Roman" w:hAnsi="Times New Roman" w:cs="Times New Roman"/>
          <w:sz w:val="24"/>
          <w:szCs w:val="24"/>
          <w:shd w:val="clear" w:color="auto" w:fill="FFFFFF"/>
        </w:rPr>
        <w:t xml:space="preserve">and populist </w:t>
      </w:r>
      <w:r w:rsidR="009C05B2" w:rsidRPr="009C05B2">
        <w:rPr>
          <w:rFonts w:ascii="Times New Roman" w:hAnsi="Times New Roman" w:cs="Times New Roman"/>
          <w:sz w:val="24"/>
          <w:szCs w:val="24"/>
          <w:shd w:val="clear" w:color="auto" w:fill="FFFFFF"/>
        </w:rPr>
        <w:t xml:space="preserve">parties and governments, sometimes with absolute majorities, </w:t>
      </w:r>
      <w:r w:rsidR="00ED42B1">
        <w:rPr>
          <w:rFonts w:ascii="Times New Roman" w:hAnsi="Times New Roman" w:cs="Times New Roman"/>
          <w:sz w:val="24"/>
          <w:szCs w:val="24"/>
          <w:shd w:val="clear" w:color="auto" w:fill="FFFFFF"/>
        </w:rPr>
        <w:t>also represent</w:t>
      </w:r>
      <w:r w:rsidR="00914818" w:rsidRPr="004E2E14">
        <w:rPr>
          <w:rFonts w:ascii="Times New Roman" w:hAnsi="Times New Roman" w:cs="Times New Roman"/>
          <w:sz w:val="24"/>
          <w:szCs w:val="24"/>
          <w:shd w:val="clear" w:color="auto" w:fill="FFFFFF"/>
        </w:rPr>
        <w:t xml:space="preserve"> major challenges for the </w:t>
      </w:r>
      <w:r w:rsidR="00062F6C">
        <w:rPr>
          <w:rFonts w:ascii="Times New Roman" w:hAnsi="Times New Roman" w:cs="Times New Roman"/>
          <w:sz w:val="24"/>
          <w:szCs w:val="24"/>
          <w:shd w:val="clear" w:color="auto" w:fill="FFFFFF"/>
        </w:rPr>
        <w:t>Rule of Law</w:t>
      </w:r>
      <w:r w:rsidR="00914818" w:rsidRPr="004E2E14">
        <w:rPr>
          <w:rFonts w:ascii="Times New Roman" w:hAnsi="Times New Roman" w:cs="Times New Roman"/>
          <w:sz w:val="24"/>
          <w:szCs w:val="24"/>
          <w:shd w:val="clear" w:color="auto" w:fill="FFFFFF"/>
        </w:rPr>
        <w:t>, both within the European Union and worldwide</w:t>
      </w:r>
      <w:r w:rsidR="00CD02BE" w:rsidRPr="004E2E14">
        <w:rPr>
          <w:rFonts w:ascii="Times New Roman" w:hAnsi="Times New Roman" w:cs="Times New Roman"/>
          <w:sz w:val="24"/>
          <w:szCs w:val="24"/>
          <w:shd w:val="clear" w:color="auto" w:fill="FFFFFF"/>
        </w:rPr>
        <w:t>, at a time when disinformation and cyber-attacks are taking center stage.</w:t>
      </w:r>
    </w:p>
    <w:p w14:paraId="301C1F53" w14:textId="77777777" w:rsidR="0085194F" w:rsidRDefault="0085194F" w:rsidP="001D12B5">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The</w:t>
      </w:r>
      <w:r w:rsidRPr="0091248B">
        <w:rPr>
          <w:rFonts w:ascii="Times New Roman" w:hAnsi="Times New Roman" w:cs="Times New Roman"/>
          <w:sz w:val="24"/>
          <w:szCs w:val="24"/>
        </w:rPr>
        <w:t xml:space="preserve"> growing trend in Europe towards populist and majoritarian political regimes has favored the creation of an environment hostile to the </w:t>
      </w:r>
      <w:r>
        <w:rPr>
          <w:rFonts w:ascii="Times New Roman" w:hAnsi="Times New Roman" w:cs="Times New Roman"/>
          <w:sz w:val="24"/>
          <w:szCs w:val="24"/>
        </w:rPr>
        <w:t>Rule of Law</w:t>
      </w:r>
      <w:r w:rsidRPr="0091248B">
        <w:rPr>
          <w:rFonts w:ascii="Times New Roman" w:hAnsi="Times New Roman" w:cs="Times New Roman"/>
          <w:sz w:val="24"/>
          <w:szCs w:val="24"/>
        </w:rPr>
        <w:t xml:space="preserve"> and the primacy of the Union's fundamental values, particularly those related to the </w:t>
      </w:r>
      <w:r>
        <w:rPr>
          <w:rFonts w:ascii="Times New Roman" w:hAnsi="Times New Roman" w:cs="Times New Roman"/>
          <w:sz w:val="24"/>
          <w:szCs w:val="24"/>
        </w:rPr>
        <w:t>Rule of Law and the EU’s supranational authority</w:t>
      </w:r>
      <w:r w:rsidRPr="0091248B">
        <w:rPr>
          <w:rFonts w:ascii="Times New Roman" w:hAnsi="Times New Roman" w:cs="Times New Roman"/>
          <w:sz w:val="24"/>
          <w:szCs w:val="24"/>
        </w:rPr>
        <w:t>.</w:t>
      </w:r>
      <w:r>
        <w:rPr>
          <w:rFonts w:ascii="Times New Roman" w:hAnsi="Times New Roman" w:cs="Times New Roman"/>
          <w:sz w:val="24"/>
          <w:szCs w:val="24"/>
        </w:rPr>
        <w:t xml:space="preserve"> Populism and majoritarianism have contributed to judicial independence backsliding in several ways, especially by undermining the judiciary’s role as a check on executive and legislative power. </w:t>
      </w:r>
    </w:p>
    <w:p w14:paraId="41EA710B" w14:textId="759F3222" w:rsidR="0085194F" w:rsidRDefault="0085194F" w:rsidP="001D12B5">
      <w:pPr>
        <w:spacing w:after="20" w:line="240" w:lineRule="auto"/>
        <w:jc w:val="both"/>
        <w:rPr>
          <w:rFonts w:ascii="Times New Roman" w:hAnsi="Times New Roman" w:cs="Times New Roman"/>
          <w:sz w:val="24"/>
          <w:szCs w:val="24"/>
        </w:rPr>
      </w:pPr>
      <w:r w:rsidRPr="008023E2">
        <w:rPr>
          <w:rFonts w:ascii="Times New Roman" w:hAnsi="Times New Roman" w:cs="Times New Roman"/>
          <w:sz w:val="24"/>
          <w:szCs w:val="24"/>
        </w:rPr>
        <w:lastRenderedPageBreak/>
        <w:t xml:space="preserve">Populism often presents politics as a battle between a virtuous, unified population and a corrupt elite, with the judicial system frequently depicted as part of this elite, accused of being out of touch with the people's will. This framing allows populist leaders to justify meddling with the judiciary, claiming it as a necessary step to restore power to the people. </w:t>
      </w:r>
      <w:r w:rsidRPr="000978E9">
        <w:rPr>
          <w:rFonts w:ascii="Times New Roman" w:hAnsi="Times New Roman" w:cs="Times New Roman"/>
          <w:sz w:val="24"/>
          <w:szCs w:val="24"/>
        </w:rPr>
        <w:t xml:space="preserve">Populist leaders frequently aim to politicize the judiciary by either appointing loyal supporters or weakening the position of independent judges. Instead of being seen as an impartial entity, </w:t>
      </w:r>
      <w:r w:rsidR="00211F11">
        <w:rPr>
          <w:rFonts w:ascii="Times New Roman" w:hAnsi="Times New Roman" w:cs="Times New Roman"/>
          <w:sz w:val="24"/>
          <w:szCs w:val="24"/>
        </w:rPr>
        <w:t>judiciary</w:t>
      </w:r>
      <w:r w:rsidRPr="000978E9">
        <w:rPr>
          <w:rFonts w:ascii="Times New Roman" w:hAnsi="Times New Roman" w:cs="Times New Roman"/>
          <w:sz w:val="24"/>
          <w:szCs w:val="24"/>
        </w:rPr>
        <w:t xml:space="preserve"> becomes a tool for advancing political objectives. This approach erodes the impartiality and independence of the judicial system. Additionally, populist leaders often launch direct assaults on the judiciary’s credibility, accusing judges of being corrupt or biased when rulings conflict with the interests of the ruling party. Such actions foster public distrust in the judiciary and serve as justification for implementing reforms that limit its independence.</w:t>
      </w:r>
      <w:r>
        <w:rPr>
          <w:rFonts w:ascii="Times New Roman" w:hAnsi="Times New Roman" w:cs="Times New Roman"/>
          <w:sz w:val="24"/>
          <w:szCs w:val="24"/>
        </w:rPr>
        <w:t xml:space="preserve"> If judicial independence is compromised, courts lose credibility and public trust, which undermines the legitimacy of legal systems and reduces accountability. The media, under populist regimes, often plays a role in shaping the perception of the judiciary. Negative portrayals of the judiciary as part of a corrupt or inefficient establishment can reduce public support for an independent judiciary and make it easier for populist leaders to enact reforms that weaken it. </w:t>
      </w:r>
    </w:p>
    <w:p w14:paraId="59FF8E2F" w14:textId="77777777" w:rsidR="0085194F" w:rsidRDefault="0085194F" w:rsidP="001D12B5">
      <w:pPr>
        <w:spacing w:after="20" w:line="240" w:lineRule="auto"/>
        <w:jc w:val="both"/>
        <w:rPr>
          <w:rFonts w:ascii="Times New Roman" w:hAnsi="Times New Roman" w:cs="Times New Roman"/>
          <w:sz w:val="24"/>
          <w:szCs w:val="24"/>
        </w:rPr>
      </w:pPr>
      <w:r w:rsidRPr="008023E2">
        <w:rPr>
          <w:rFonts w:ascii="Times New Roman" w:hAnsi="Times New Roman" w:cs="Times New Roman"/>
          <w:sz w:val="24"/>
          <w:szCs w:val="24"/>
        </w:rPr>
        <w:t xml:space="preserve">In majoritarianism, the belief that the majority’s will should dominate can result in the marginalization of opposing voices, including </w:t>
      </w:r>
      <w:r>
        <w:rPr>
          <w:rFonts w:ascii="Times New Roman" w:hAnsi="Times New Roman" w:cs="Times New Roman"/>
          <w:sz w:val="24"/>
          <w:szCs w:val="24"/>
        </w:rPr>
        <w:t xml:space="preserve">the </w:t>
      </w:r>
      <w:r w:rsidRPr="008023E2">
        <w:rPr>
          <w:rFonts w:ascii="Times New Roman" w:hAnsi="Times New Roman" w:cs="Times New Roman"/>
          <w:sz w:val="24"/>
          <w:szCs w:val="24"/>
        </w:rPr>
        <w:t>judiciary. Majoritarian governments may see judicial independence as a barrier to implementing the majority’s wishes, leading them to try to undermine or take control of the judiciary.</w:t>
      </w:r>
      <w:r>
        <w:rPr>
          <w:rFonts w:ascii="Times New Roman" w:hAnsi="Times New Roman" w:cs="Times New Roman"/>
          <w:sz w:val="24"/>
          <w:szCs w:val="24"/>
        </w:rPr>
        <w:t xml:space="preserve"> </w:t>
      </w:r>
      <w:r w:rsidRPr="00D76AFE">
        <w:rPr>
          <w:rFonts w:ascii="Times New Roman" w:hAnsi="Times New Roman" w:cs="Times New Roman"/>
          <w:sz w:val="24"/>
          <w:szCs w:val="24"/>
        </w:rPr>
        <w:t>Governments with a majoritarian system may advocate reforms that grant them the ability to appoint judges or sway court decisions in ways that align with their political objectives, thereby undermining the judiciary’s independence</w:t>
      </w:r>
      <w:r>
        <w:rPr>
          <w:rFonts w:ascii="Times New Roman" w:hAnsi="Times New Roman" w:cs="Times New Roman"/>
          <w:sz w:val="24"/>
          <w:szCs w:val="24"/>
        </w:rPr>
        <w:t xml:space="preserve"> and the separation of powers</w:t>
      </w:r>
      <w:r w:rsidRPr="00D76AFE">
        <w:rPr>
          <w:rFonts w:ascii="Times New Roman" w:hAnsi="Times New Roman" w:cs="Times New Roman"/>
          <w:sz w:val="24"/>
          <w:szCs w:val="24"/>
        </w:rPr>
        <w:t>. In such systems, legislatures can enact laws that curtail the authority of courts, reduce their scope, or modify judicial procedures, weakening the courts’ capacity to function autonomously. Judicial decisions that defend minority rights or enforce constitutional checks on majority power might be portrayed as hindering the majority's will, leading to attempts to delegitimize the judiciary and compel judges to align with the dominant political forces.</w:t>
      </w:r>
    </w:p>
    <w:p w14:paraId="3BFE7D16" w14:textId="78AF880C" w:rsidR="0085194F" w:rsidRDefault="0085194F" w:rsidP="001D12B5">
      <w:pPr>
        <w:spacing w:after="20" w:line="240" w:lineRule="auto"/>
        <w:jc w:val="both"/>
        <w:rPr>
          <w:rFonts w:ascii="Times New Roman" w:hAnsi="Times New Roman" w:cs="Times New Roman"/>
          <w:sz w:val="24"/>
          <w:szCs w:val="24"/>
        </w:rPr>
      </w:pPr>
      <w:r w:rsidRPr="00946F27">
        <w:rPr>
          <w:rFonts w:ascii="Times New Roman" w:hAnsi="Times New Roman" w:cs="Times New Roman"/>
          <w:sz w:val="24"/>
          <w:szCs w:val="24"/>
        </w:rPr>
        <w:t xml:space="preserve">Populist and majoritarian governments might resort to court-packing by increasing the number of judges and appointing those aligned with their political views. This practice erodes judicial independence, as the courts become more favorable to the regime in power. Both populism and majoritarianism can undermine the </w:t>
      </w:r>
      <w:r>
        <w:rPr>
          <w:rFonts w:ascii="Times New Roman" w:hAnsi="Times New Roman" w:cs="Times New Roman"/>
          <w:sz w:val="24"/>
          <w:szCs w:val="24"/>
        </w:rPr>
        <w:t>Rule of Law</w:t>
      </w:r>
      <w:r w:rsidRPr="00946F27">
        <w:rPr>
          <w:rFonts w:ascii="Times New Roman" w:hAnsi="Times New Roman" w:cs="Times New Roman"/>
          <w:sz w:val="24"/>
          <w:szCs w:val="24"/>
        </w:rPr>
        <w:t xml:space="preserve"> by challenging or disregarding judicial decisions that oppose the executive or legislative agenda. When court rulings are ignored, delegitimized, or attacked, it signals that the judiciary is not an independent institution but rather subservient to political authority. </w:t>
      </w:r>
      <w:r w:rsidRPr="00FB7908">
        <w:rPr>
          <w:rFonts w:ascii="Times New Roman" w:hAnsi="Times New Roman" w:cs="Times New Roman"/>
          <w:sz w:val="24"/>
          <w:szCs w:val="24"/>
        </w:rPr>
        <w:t>Additionally, rhetoric that frames judicial decisions as being against the will of the people or anti-majoritarian creates a hostile environment for the judiciary, making it more difficult for judges to fulfill their responsibilities without fear of retaliation. In such cases, governments might advocate for legislative or constitutional reforms that weaken judicial independence, such as shortening judges' terms, increasing executive influence in judicial appointments, or undermining the financial autonomy of the judiciary. These reforms can consolidate political dominance over the courts, hindering their ability to serve as a safeguard against potential abuses of power, which is fundamental to judicial independence.</w:t>
      </w:r>
      <w:r>
        <w:rPr>
          <w:rFonts w:ascii="Times New Roman" w:hAnsi="Times New Roman" w:cs="Times New Roman"/>
          <w:sz w:val="24"/>
          <w:szCs w:val="24"/>
        </w:rPr>
        <w:t xml:space="preserve"> A decline in the Rule of Law often comes with increased government control over media, suppression of dissent, and restrictions on free speech and assembly. </w:t>
      </w:r>
      <w:r w:rsidRPr="0061422E">
        <w:rPr>
          <w:rFonts w:ascii="Times New Roman" w:hAnsi="Times New Roman" w:cs="Times New Roman"/>
          <w:sz w:val="24"/>
          <w:szCs w:val="24"/>
        </w:rPr>
        <w:t xml:space="preserve">That is precisely what occurred in Hungary and Poland. </w:t>
      </w:r>
      <w:r>
        <w:rPr>
          <w:rFonts w:ascii="Times New Roman" w:hAnsi="Times New Roman" w:cs="Times New Roman"/>
          <w:sz w:val="24"/>
          <w:szCs w:val="24"/>
        </w:rPr>
        <w:t xml:space="preserve">Populist governments rely heavily on domestic public support. They can frame EU criticism as foreign interference, bolstering their national credentials. </w:t>
      </w:r>
      <w:r w:rsidRPr="0061422E">
        <w:rPr>
          <w:rFonts w:ascii="Times New Roman" w:hAnsi="Times New Roman" w:cs="Times New Roman"/>
          <w:sz w:val="24"/>
          <w:szCs w:val="24"/>
        </w:rPr>
        <w:t xml:space="preserve">Both the PiS party in Poland and the Fidesz party in Hungary have employed populist rhetoric, presenting themselves as protectors of national </w:t>
      </w:r>
      <w:r w:rsidRPr="0061422E">
        <w:rPr>
          <w:rFonts w:ascii="Times New Roman" w:hAnsi="Times New Roman" w:cs="Times New Roman"/>
          <w:sz w:val="24"/>
          <w:szCs w:val="24"/>
        </w:rPr>
        <w:lastRenderedPageBreak/>
        <w:t xml:space="preserve">sovereignty against the European Union and judicial elites. They claim that judicial reforms are essential to ensure the judiciary reflects the will of the people, as demonstrated through electoral mandates. </w:t>
      </w:r>
      <w:r>
        <w:rPr>
          <w:rFonts w:ascii="Times New Roman" w:hAnsi="Times New Roman" w:cs="Times New Roman"/>
          <w:sz w:val="24"/>
          <w:szCs w:val="24"/>
        </w:rPr>
        <w:t>Those governments, even under democratic frameworks, manage to resist pressures to democratize fully or avoid meaningful reforms by slowly centralizing power while maintaining outward appearances of democracy.</w:t>
      </w:r>
      <w:r w:rsidRPr="0061422E">
        <w:rPr>
          <w:rFonts w:ascii="Times New Roman" w:hAnsi="Times New Roman" w:cs="Times New Roman"/>
          <w:sz w:val="24"/>
          <w:szCs w:val="24"/>
        </w:rPr>
        <w:t xml:space="preserve"> </w:t>
      </w:r>
      <w:r>
        <w:rPr>
          <w:rFonts w:ascii="Times New Roman" w:hAnsi="Times New Roman" w:cs="Times New Roman"/>
          <w:sz w:val="24"/>
          <w:szCs w:val="24"/>
        </w:rPr>
        <w:t xml:space="preserve">This </w:t>
      </w:r>
      <w:r w:rsidRPr="0061422E">
        <w:rPr>
          <w:rFonts w:ascii="Times New Roman" w:hAnsi="Times New Roman" w:cs="Times New Roman"/>
          <w:sz w:val="24"/>
          <w:szCs w:val="24"/>
        </w:rPr>
        <w:t xml:space="preserve">situation generates friction between democratic legitimacy (majority rule) and liberal democracy (the </w:t>
      </w:r>
      <w:r>
        <w:rPr>
          <w:rFonts w:ascii="Times New Roman" w:hAnsi="Times New Roman" w:cs="Times New Roman"/>
          <w:sz w:val="24"/>
          <w:szCs w:val="24"/>
        </w:rPr>
        <w:t>Rule of Law</w:t>
      </w:r>
      <w:r w:rsidRPr="0061422E">
        <w:rPr>
          <w:rFonts w:ascii="Times New Roman" w:hAnsi="Times New Roman" w:cs="Times New Roman"/>
          <w:sz w:val="24"/>
          <w:szCs w:val="24"/>
        </w:rPr>
        <w:t>).</w:t>
      </w:r>
      <w:r>
        <w:rPr>
          <w:rFonts w:ascii="Times New Roman" w:hAnsi="Times New Roman" w:cs="Times New Roman"/>
          <w:sz w:val="24"/>
          <w:szCs w:val="24"/>
        </w:rPr>
        <w:t xml:space="preserve"> Erosion of democracy occurs through legal mechanisms. Political systems are manipulated from within, using legislative tools to centralize power, and courts are reformed in a way that consolidates government control while maintaining a veneer of democratic legitimacy. </w:t>
      </w:r>
    </w:p>
    <w:p w14:paraId="2D1190EE" w14:textId="6B1B0509" w:rsidR="0085194F" w:rsidRDefault="0085194F" w:rsidP="001D12B5">
      <w:pPr>
        <w:spacing w:after="20" w:line="240" w:lineRule="auto"/>
        <w:jc w:val="both"/>
        <w:rPr>
          <w:rFonts w:ascii="Times New Roman" w:hAnsi="Times New Roman" w:cs="Times New Roman"/>
          <w:sz w:val="24"/>
          <w:szCs w:val="24"/>
        </w:rPr>
      </w:pPr>
      <w:r>
        <w:rPr>
          <w:rFonts w:ascii="Times New Roman" w:hAnsi="Times New Roman" w:cs="Times New Roman"/>
          <w:sz w:val="24"/>
          <w:szCs w:val="24"/>
        </w:rPr>
        <w:t xml:space="preserve">Populism and majoritarianism contribute to judicial independence backsliding by weakening the judiciary’s role as an independent check on power, politicizing the judiciary, and eroding the Rule of Law. </w:t>
      </w:r>
      <w:r w:rsidRPr="00A15B3F">
        <w:rPr>
          <w:rFonts w:ascii="Times New Roman" w:hAnsi="Times New Roman" w:cs="Times New Roman"/>
          <w:sz w:val="24"/>
          <w:szCs w:val="24"/>
        </w:rPr>
        <w:t>In doing so, these forces create an environment where the judiciary is vulnerable to manipulation by political leaders, undermining its ability to uphold constitutional principles and protect minority rights. This has long-term implications for democratic governance, as it diminishes the separation of powers and weakens the protection of individual rights against state overreach.</w:t>
      </w:r>
      <w:r>
        <w:rPr>
          <w:rFonts w:ascii="Times New Roman" w:hAnsi="Times New Roman" w:cs="Times New Roman"/>
          <w:sz w:val="24"/>
          <w:szCs w:val="24"/>
        </w:rPr>
        <w:t xml:space="preserve"> </w:t>
      </w:r>
    </w:p>
    <w:p w14:paraId="15F1CF6F" w14:textId="069D28D4" w:rsidR="0085194F" w:rsidRDefault="0085194F" w:rsidP="001D12B5">
      <w:pPr>
        <w:spacing w:after="20" w:line="240" w:lineRule="auto"/>
        <w:jc w:val="both"/>
        <w:rPr>
          <w:rFonts w:ascii="Times New Roman" w:hAnsi="Times New Roman" w:cs="Times New Roman"/>
          <w:sz w:val="24"/>
          <w:szCs w:val="24"/>
        </w:rPr>
      </w:pPr>
      <w:r w:rsidRPr="00814079">
        <w:rPr>
          <w:rFonts w:ascii="Times New Roman" w:hAnsi="Times New Roman" w:cs="Times New Roman"/>
          <w:sz w:val="24"/>
          <w:szCs w:val="24"/>
        </w:rPr>
        <w:t xml:space="preserve">That said, it's not hard to see why in recent democracies such as Poland and Hungary, </w:t>
      </w:r>
      <w:r w:rsidRPr="002B2391">
        <w:rPr>
          <w:rFonts w:ascii="Times New Roman" w:hAnsi="Times New Roman" w:cs="Times New Roman"/>
          <w:sz w:val="24"/>
          <w:szCs w:val="24"/>
        </w:rPr>
        <w:t>referred to by some as soft democracies</w:t>
      </w:r>
      <w:r>
        <w:rPr>
          <w:rFonts w:ascii="Times New Roman" w:hAnsi="Times New Roman" w:cs="Times New Roman"/>
          <w:sz w:val="24"/>
          <w:szCs w:val="24"/>
        </w:rPr>
        <w:t xml:space="preserve">, </w:t>
      </w:r>
      <w:r w:rsidRPr="00814079">
        <w:rPr>
          <w:rFonts w:ascii="Times New Roman" w:hAnsi="Times New Roman" w:cs="Times New Roman"/>
          <w:sz w:val="24"/>
          <w:szCs w:val="24"/>
        </w:rPr>
        <w:t xml:space="preserve">populism and majoritarianism are the great adversaries of the </w:t>
      </w:r>
      <w:r>
        <w:rPr>
          <w:rFonts w:ascii="Times New Roman" w:hAnsi="Times New Roman" w:cs="Times New Roman"/>
          <w:sz w:val="24"/>
          <w:szCs w:val="24"/>
        </w:rPr>
        <w:t>Rule of Law</w:t>
      </w:r>
      <w:r w:rsidRPr="00814079">
        <w:rPr>
          <w:rFonts w:ascii="Times New Roman" w:hAnsi="Times New Roman" w:cs="Times New Roman"/>
          <w:sz w:val="24"/>
          <w:szCs w:val="24"/>
        </w:rPr>
        <w:t>, fundamental rights</w:t>
      </w:r>
      <w:r>
        <w:rPr>
          <w:rFonts w:ascii="Times New Roman" w:hAnsi="Times New Roman" w:cs="Times New Roman"/>
          <w:sz w:val="24"/>
          <w:szCs w:val="24"/>
        </w:rPr>
        <w:t>,</w:t>
      </w:r>
      <w:r w:rsidRPr="00814079">
        <w:rPr>
          <w:rFonts w:ascii="Times New Roman" w:hAnsi="Times New Roman" w:cs="Times New Roman"/>
          <w:sz w:val="24"/>
          <w:szCs w:val="24"/>
        </w:rPr>
        <w:t xml:space="preserve"> </w:t>
      </w:r>
      <w:r>
        <w:rPr>
          <w:rFonts w:ascii="Times New Roman" w:hAnsi="Times New Roman" w:cs="Times New Roman"/>
          <w:sz w:val="24"/>
          <w:szCs w:val="24"/>
        </w:rPr>
        <w:t xml:space="preserve">including minority rights, freedom of expression, and due process, </w:t>
      </w:r>
      <w:r w:rsidRPr="00814079">
        <w:rPr>
          <w:rFonts w:ascii="Times New Roman" w:hAnsi="Times New Roman" w:cs="Times New Roman"/>
          <w:sz w:val="24"/>
          <w:szCs w:val="24"/>
        </w:rPr>
        <w:t>and democracy itself.</w:t>
      </w:r>
      <w:r>
        <w:rPr>
          <w:rFonts w:ascii="Times New Roman" w:hAnsi="Times New Roman" w:cs="Times New Roman"/>
          <w:sz w:val="24"/>
          <w:szCs w:val="24"/>
        </w:rPr>
        <w:t xml:space="preserve"> </w:t>
      </w:r>
    </w:p>
    <w:p w14:paraId="05EED16E" w14:textId="77777777" w:rsidR="00585B41" w:rsidRPr="004E2E14" w:rsidRDefault="00585B41"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 xml:space="preserve">Although there are several cases, when looking over </w:t>
      </w:r>
      <w:r>
        <w:rPr>
          <w:rFonts w:ascii="Times New Roman" w:hAnsi="Times New Roman" w:cs="Times New Roman"/>
          <w:sz w:val="24"/>
          <w:szCs w:val="24"/>
          <w:shd w:val="clear" w:color="auto" w:fill="FFFFFF"/>
        </w:rPr>
        <w:t>five years</w:t>
      </w:r>
      <w:r w:rsidRPr="004E2E14">
        <w:rPr>
          <w:rFonts w:ascii="Times New Roman" w:hAnsi="Times New Roman" w:cs="Times New Roman"/>
          <w:sz w:val="24"/>
          <w:szCs w:val="24"/>
          <w:shd w:val="clear" w:color="auto" w:fill="FFFFFF"/>
        </w:rPr>
        <w:t xml:space="preserve">, the World Justice Project’s </w:t>
      </w:r>
      <w:r>
        <w:rPr>
          <w:rFonts w:ascii="Times New Roman" w:hAnsi="Times New Roman" w:cs="Times New Roman"/>
          <w:sz w:val="24"/>
          <w:szCs w:val="24"/>
          <w:shd w:val="clear" w:color="auto" w:fill="FFFFFF"/>
        </w:rPr>
        <w:t>Rule of Law</w:t>
      </w:r>
      <w:r w:rsidRPr="004E2E14">
        <w:rPr>
          <w:rFonts w:ascii="Times New Roman" w:hAnsi="Times New Roman" w:cs="Times New Roman"/>
          <w:sz w:val="24"/>
          <w:szCs w:val="24"/>
          <w:shd w:val="clear" w:color="auto" w:fill="FFFFFF"/>
        </w:rPr>
        <w:t xml:space="preserve"> Index showed that Hungary’s and Poland’s respect for the </w:t>
      </w:r>
      <w:r>
        <w:rPr>
          <w:rFonts w:ascii="Times New Roman" w:hAnsi="Times New Roman" w:cs="Times New Roman"/>
          <w:sz w:val="24"/>
          <w:szCs w:val="24"/>
          <w:shd w:val="clear" w:color="auto" w:fill="FFFFFF"/>
        </w:rPr>
        <w:t>Rule of Law</w:t>
      </w:r>
      <w:r w:rsidRPr="004E2E14">
        <w:rPr>
          <w:rFonts w:ascii="Times New Roman" w:hAnsi="Times New Roman" w:cs="Times New Roman"/>
          <w:sz w:val="24"/>
          <w:szCs w:val="24"/>
          <w:shd w:val="clear" w:color="auto" w:fill="FFFFFF"/>
        </w:rPr>
        <w:t xml:space="preserve"> has declined more than in </w:t>
      </w:r>
      <w:r>
        <w:rPr>
          <w:rFonts w:ascii="Times New Roman" w:hAnsi="Times New Roman" w:cs="Times New Roman"/>
          <w:sz w:val="24"/>
          <w:szCs w:val="24"/>
          <w:shd w:val="clear" w:color="auto" w:fill="FFFFFF"/>
        </w:rPr>
        <w:t>other countries</w:t>
      </w:r>
      <w:r w:rsidRPr="004E2E14">
        <w:rPr>
          <w:rFonts w:ascii="Times New Roman" w:hAnsi="Times New Roman" w:cs="Times New Roman"/>
          <w:sz w:val="24"/>
          <w:szCs w:val="24"/>
          <w:shd w:val="clear" w:color="auto" w:fill="FFFFFF"/>
        </w:rPr>
        <w:t xml:space="preserve"> in the region of EU/EFTA/North America.</w:t>
      </w:r>
      <w:r w:rsidRPr="004E2E14">
        <w:rPr>
          <w:rStyle w:val="Refdenotaalpie"/>
          <w:rFonts w:ascii="Times New Roman" w:hAnsi="Times New Roman" w:cs="Times New Roman"/>
          <w:sz w:val="24"/>
          <w:szCs w:val="24"/>
          <w:shd w:val="clear" w:color="auto" w:fill="FFFFFF"/>
        </w:rPr>
        <w:footnoteReference w:id="44"/>
      </w:r>
      <w:r w:rsidRPr="004E2E14">
        <w:rPr>
          <w:rFonts w:ascii="Times New Roman" w:hAnsi="Times New Roman" w:cs="Times New Roman"/>
          <w:sz w:val="24"/>
          <w:szCs w:val="24"/>
          <w:shd w:val="clear" w:color="auto" w:fill="FFFFFF"/>
        </w:rPr>
        <w:t xml:space="preserve"> PECH refers </w:t>
      </w:r>
      <w:r>
        <w:rPr>
          <w:rFonts w:ascii="Times New Roman" w:hAnsi="Times New Roman" w:cs="Times New Roman"/>
          <w:sz w:val="24"/>
          <w:szCs w:val="24"/>
          <w:shd w:val="clear" w:color="auto" w:fill="FFFFFF"/>
        </w:rPr>
        <w:t xml:space="preserve">to </w:t>
      </w:r>
      <w:r w:rsidRPr="004E2E14">
        <w:rPr>
          <w:rFonts w:ascii="Times New Roman" w:hAnsi="Times New Roman" w:cs="Times New Roman"/>
          <w:sz w:val="24"/>
          <w:szCs w:val="24"/>
          <w:shd w:val="clear" w:color="auto" w:fill="FFFFFF"/>
        </w:rPr>
        <w:t xml:space="preserve">the assessment of the V-DEM Institute </w:t>
      </w:r>
      <w:r>
        <w:rPr>
          <w:rFonts w:ascii="Times New Roman" w:hAnsi="Times New Roman" w:cs="Times New Roman"/>
          <w:sz w:val="24"/>
          <w:szCs w:val="24"/>
          <w:shd w:val="clear" w:color="auto" w:fill="FFFFFF"/>
        </w:rPr>
        <w:t xml:space="preserve">that </w:t>
      </w:r>
      <w:r w:rsidRPr="004E2E14">
        <w:rPr>
          <w:rFonts w:ascii="Times New Roman" w:hAnsi="Times New Roman" w:cs="Times New Roman"/>
          <w:sz w:val="24"/>
          <w:szCs w:val="24"/>
          <w:shd w:val="clear" w:color="auto" w:fill="FFFFFF"/>
        </w:rPr>
        <w:t>identifies Hungary as the EU’s first electoral autocracy in their 2020 democracy report</w:t>
      </w:r>
      <w:r w:rsidRPr="004E2E14">
        <w:rPr>
          <w:rStyle w:val="Refdenotaalpie"/>
          <w:rFonts w:ascii="Times New Roman" w:hAnsi="Times New Roman" w:cs="Times New Roman"/>
          <w:sz w:val="24"/>
          <w:szCs w:val="24"/>
          <w:shd w:val="clear" w:color="auto" w:fill="FFFFFF"/>
        </w:rPr>
        <w:footnoteReference w:id="45"/>
      </w:r>
      <w:r w:rsidRPr="004E2E14">
        <w:rPr>
          <w:rFonts w:ascii="Times New Roman" w:hAnsi="Times New Roman" w:cs="Times New Roman"/>
          <w:sz w:val="24"/>
          <w:szCs w:val="24"/>
          <w:shd w:val="clear" w:color="auto" w:fill="FFFFFF"/>
        </w:rPr>
        <w:t>, and Poland as the world’s most autocrati</w:t>
      </w:r>
      <w:r>
        <w:rPr>
          <w:rFonts w:ascii="Times New Roman" w:hAnsi="Times New Roman" w:cs="Times New Roman"/>
          <w:sz w:val="24"/>
          <w:szCs w:val="24"/>
          <w:shd w:val="clear" w:color="auto" w:fill="FFFFFF"/>
        </w:rPr>
        <w:t>z</w:t>
      </w:r>
      <w:r w:rsidRPr="004E2E14">
        <w:rPr>
          <w:rFonts w:ascii="Times New Roman" w:hAnsi="Times New Roman" w:cs="Times New Roman"/>
          <w:sz w:val="24"/>
          <w:szCs w:val="24"/>
          <w:shd w:val="clear" w:color="auto" w:fill="FFFFFF"/>
        </w:rPr>
        <w:t>ing country in the last decade in their 2021 democracy report</w:t>
      </w:r>
      <w:r w:rsidRPr="004E2E14">
        <w:rPr>
          <w:rStyle w:val="Refdenotaalpie"/>
          <w:rFonts w:ascii="Times New Roman" w:hAnsi="Times New Roman" w:cs="Times New Roman"/>
          <w:sz w:val="24"/>
          <w:szCs w:val="24"/>
          <w:shd w:val="clear" w:color="auto" w:fill="FFFFFF"/>
        </w:rPr>
        <w:footnoteReference w:id="46"/>
      </w:r>
      <w:r w:rsidRPr="004E2E14">
        <w:rPr>
          <w:rFonts w:ascii="Times New Roman" w:hAnsi="Times New Roman" w:cs="Times New Roman"/>
          <w:sz w:val="24"/>
          <w:szCs w:val="24"/>
          <w:shd w:val="clear" w:color="auto" w:fill="FFFFFF"/>
        </w:rPr>
        <w:t>.</w:t>
      </w:r>
      <w:r w:rsidRPr="004E2E14">
        <w:rPr>
          <w:rStyle w:val="Refdenotaalpie"/>
          <w:rFonts w:ascii="Times New Roman" w:hAnsi="Times New Roman" w:cs="Times New Roman"/>
          <w:sz w:val="24"/>
          <w:szCs w:val="24"/>
          <w:shd w:val="clear" w:color="auto" w:fill="FFFFFF"/>
        </w:rPr>
        <w:footnoteReference w:id="47"/>
      </w:r>
      <w:r w:rsidRPr="004E2E14">
        <w:rPr>
          <w:rFonts w:ascii="Times New Roman" w:hAnsi="Times New Roman" w:cs="Times New Roman"/>
          <w:sz w:val="24"/>
          <w:szCs w:val="24"/>
          <w:shd w:val="clear" w:color="auto" w:fill="FFFFFF"/>
        </w:rPr>
        <w:t xml:space="preserve"> BÁRD refers that in the academic literature, Hungary is classified as a “competitive authoritarian regime” and Poland is said to have suffered a political capture of the judiciary and the media, opening the way for unconstrained powers by the executive.</w:t>
      </w:r>
      <w:r w:rsidRPr="004E2E14">
        <w:rPr>
          <w:rStyle w:val="Refdenotaalpie"/>
          <w:rFonts w:ascii="Times New Roman" w:hAnsi="Times New Roman" w:cs="Times New Roman"/>
          <w:sz w:val="24"/>
          <w:szCs w:val="24"/>
          <w:shd w:val="clear" w:color="auto" w:fill="FFFFFF"/>
        </w:rPr>
        <w:footnoteReference w:id="48"/>
      </w:r>
    </w:p>
    <w:p w14:paraId="59551539" w14:textId="5EB91B41" w:rsidR="0085194F" w:rsidRPr="004E2E14" w:rsidRDefault="00585B41" w:rsidP="001D12B5">
      <w:pPr>
        <w:spacing w:after="0" w:line="240" w:lineRule="auto"/>
        <w:jc w:val="both"/>
        <w:rPr>
          <w:rFonts w:ascii="Times New Roman" w:hAnsi="Times New Roman" w:cs="Times New Roman"/>
          <w:sz w:val="24"/>
          <w:szCs w:val="24"/>
          <w:shd w:val="clear" w:color="auto" w:fill="FFFFFF"/>
        </w:rPr>
      </w:pPr>
      <w:r w:rsidRPr="004E2E14">
        <w:rPr>
          <w:rFonts w:ascii="Times New Roman" w:hAnsi="Times New Roman" w:cs="Times New Roman"/>
          <w:sz w:val="24"/>
          <w:szCs w:val="24"/>
          <w:shd w:val="clear" w:color="auto" w:fill="FFFFFF"/>
        </w:rPr>
        <w:t xml:space="preserve">Still according to V-DEM Institute, «[a]mong the union members, Hungary and Poland are among the top autocratizers in the world over the last decade. Hungary turned into an electoral autocracy in 2018. Autocratization is now also affecting Slovenia, which is one of the top autocratizers in the world over the last three years. Croatia, </w:t>
      </w:r>
      <w:r>
        <w:rPr>
          <w:rFonts w:ascii="Times New Roman" w:hAnsi="Times New Roman" w:cs="Times New Roman"/>
          <w:sz w:val="24"/>
          <w:szCs w:val="24"/>
          <w:shd w:val="clear" w:color="auto" w:fill="FFFFFF"/>
        </w:rPr>
        <w:t xml:space="preserve">the </w:t>
      </w:r>
      <w:r w:rsidRPr="004E2E14">
        <w:rPr>
          <w:rFonts w:ascii="Times New Roman" w:hAnsi="Times New Roman" w:cs="Times New Roman"/>
          <w:sz w:val="24"/>
          <w:szCs w:val="24"/>
          <w:shd w:val="clear" w:color="auto" w:fill="FFFFFF"/>
        </w:rPr>
        <w:t>Czech Republic, and Greece are also newly autocratizing countries».</w:t>
      </w:r>
      <w:r w:rsidRPr="004E2E14">
        <w:rPr>
          <w:rStyle w:val="Refdenotaalpie"/>
          <w:rFonts w:ascii="Times New Roman" w:hAnsi="Times New Roman" w:cs="Times New Roman"/>
          <w:sz w:val="24"/>
          <w:szCs w:val="24"/>
          <w:shd w:val="clear" w:color="auto" w:fill="FFFFFF"/>
        </w:rPr>
        <w:footnoteReference w:id="49"/>
      </w:r>
    </w:p>
    <w:p w14:paraId="4D5A9555" w14:textId="77777777" w:rsidR="00B42B54" w:rsidRPr="004E2E14" w:rsidRDefault="00B42B54" w:rsidP="001D12B5">
      <w:pPr>
        <w:pStyle w:val="Prrafodelista"/>
        <w:spacing w:after="0" w:line="240" w:lineRule="auto"/>
        <w:ind w:left="0"/>
        <w:jc w:val="both"/>
        <w:rPr>
          <w:rFonts w:ascii="Times New Roman" w:hAnsi="Times New Roman" w:cs="Times New Roman"/>
          <w:sz w:val="24"/>
          <w:szCs w:val="24"/>
        </w:rPr>
      </w:pPr>
    </w:p>
    <w:p w14:paraId="01A83633" w14:textId="5AAE5496" w:rsidR="00C60D1A" w:rsidRPr="00425FC8" w:rsidRDefault="00EE6817" w:rsidP="001D12B5">
      <w:pPr>
        <w:pStyle w:val="Prrafodelista"/>
        <w:numPr>
          <w:ilvl w:val="0"/>
          <w:numId w:val="25"/>
        </w:numPr>
        <w:spacing w:after="0" w:line="240" w:lineRule="auto"/>
        <w:ind w:left="0" w:firstLine="0"/>
        <w:jc w:val="both"/>
        <w:rPr>
          <w:rFonts w:ascii="Times New Roman" w:hAnsi="Times New Roman" w:cs="Times New Roman"/>
          <w:b/>
          <w:bCs/>
          <w:sz w:val="24"/>
          <w:szCs w:val="24"/>
        </w:rPr>
      </w:pPr>
      <w:r w:rsidRPr="00425FC8">
        <w:rPr>
          <w:rFonts w:ascii="Times New Roman" w:hAnsi="Times New Roman" w:cs="Times New Roman"/>
          <w:b/>
          <w:bCs/>
          <w:sz w:val="24"/>
          <w:szCs w:val="24"/>
        </w:rPr>
        <w:t>Threats to judicial independence</w:t>
      </w:r>
      <w:r w:rsidR="00914818" w:rsidRPr="00425FC8">
        <w:rPr>
          <w:rFonts w:ascii="Times New Roman" w:hAnsi="Times New Roman" w:cs="Times New Roman"/>
          <w:b/>
          <w:bCs/>
          <w:sz w:val="24"/>
          <w:szCs w:val="24"/>
        </w:rPr>
        <w:t xml:space="preserve"> in Central and Eastern Europe</w:t>
      </w:r>
    </w:p>
    <w:p w14:paraId="0435D920" w14:textId="77777777" w:rsidR="00196248" w:rsidRPr="004E2E14" w:rsidRDefault="00196248" w:rsidP="001D12B5">
      <w:pPr>
        <w:pStyle w:val="Prrafodelista"/>
        <w:spacing w:before="240" w:after="0" w:line="240" w:lineRule="auto"/>
        <w:ind w:left="0"/>
        <w:jc w:val="both"/>
        <w:rPr>
          <w:rFonts w:ascii="Times New Roman" w:hAnsi="Times New Roman" w:cs="Times New Roman"/>
          <w:sz w:val="24"/>
          <w:szCs w:val="24"/>
        </w:rPr>
      </w:pPr>
    </w:p>
    <w:p w14:paraId="26F89609" w14:textId="756DE20B" w:rsidR="00D272BD" w:rsidRPr="004E2E14" w:rsidRDefault="00ED42B1" w:rsidP="001D12B5">
      <w:pPr>
        <w:pStyle w:val="Prrafodelista"/>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4.1 Threats</w:t>
      </w:r>
      <w:r w:rsidR="00D272BD" w:rsidRPr="004E2E14">
        <w:rPr>
          <w:rFonts w:ascii="Times New Roman" w:hAnsi="Times New Roman" w:cs="Times New Roman"/>
          <w:sz w:val="24"/>
          <w:szCs w:val="24"/>
        </w:rPr>
        <w:t xml:space="preserve"> to judicial independence</w:t>
      </w:r>
    </w:p>
    <w:p w14:paraId="64E8A8E7" w14:textId="383CDFFC" w:rsidR="004148FA" w:rsidRPr="004E2E14" w:rsidRDefault="004148FA"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The courts independence forms part of the essence of the right to effective judicial protection and the fundamental right to a fair trial, which is of cardinal importance as a guarantee that all the </w:t>
      </w:r>
      <w:r w:rsidR="00664446" w:rsidRPr="004E2E14">
        <w:rPr>
          <w:rFonts w:ascii="Times New Roman" w:hAnsi="Times New Roman" w:cs="Times New Roman"/>
          <w:sz w:val="24"/>
          <w:szCs w:val="24"/>
        </w:rPr>
        <w:t xml:space="preserve">individuals’ </w:t>
      </w:r>
      <w:r w:rsidRPr="004E2E14">
        <w:rPr>
          <w:rFonts w:ascii="Times New Roman" w:hAnsi="Times New Roman" w:cs="Times New Roman"/>
          <w:sz w:val="24"/>
          <w:szCs w:val="24"/>
        </w:rPr>
        <w:t xml:space="preserve">rights </w:t>
      </w:r>
      <w:r w:rsidR="00664446" w:rsidRPr="004E2E14">
        <w:rPr>
          <w:rFonts w:ascii="Times New Roman" w:hAnsi="Times New Roman" w:cs="Times New Roman"/>
          <w:sz w:val="24"/>
          <w:szCs w:val="24"/>
        </w:rPr>
        <w:t>that</w:t>
      </w:r>
      <w:r w:rsidRPr="004E2E14">
        <w:rPr>
          <w:rFonts w:ascii="Times New Roman" w:hAnsi="Times New Roman" w:cs="Times New Roman"/>
          <w:sz w:val="24"/>
          <w:szCs w:val="24"/>
        </w:rPr>
        <w:t xml:space="preserve"> derive from EU law will be protected and </w:t>
      </w:r>
      <w:r w:rsidRPr="004E2E14">
        <w:rPr>
          <w:rFonts w:ascii="Times New Roman" w:hAnsi="Times New Roman" w:cs="Times New Roman"/>
          <w:sz w:val="24"/>
          <w:szCs w:val="24"/>
        </w:rPr>
        <w:lastRenderedPageBreak/>
        <w:t xml:space="preserve">the values common to the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set out in Article 2 TEU, particularly the value of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will be safeguarded.</w:t>
      </w:r>
      <w:r w:rsidRPr="004E2E14">
        <w:rPr>
          <w:rStyle w:val="Refdenotaalpie"/>
          <w:rFonts w:ascii="Times New Roman" w:hAnsi="Times New Roman" w:cs="Times New Roman"/>
          <w:sz w:val="24"/>
          <w:szCs w:val="24"/>
        </w:rPr>
        <w:footnoteReference w:id="50"/>
      </w:r>
    </w:p>
    <w:p w14:paraId="1144812C" w14:textId="1C782375" w:rsidR="00A1051C" w:rsidRPr="004E2E14" w:rsidRDefault="00A1051C"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Judges must be protected from external intervention or pressure liable to jeopardize their independence. The rules applicable to the judges’ </w:t>
      </w:r>
      <w:r w:rsidRPr="004E2E14">
        <w:rPr>
          <w:rFonts w:ascii="Times New Roman" w:hAnsi="Times New Roman" w:cs="Times New Roman"/>
          <w:i/>
          <w:iCs/>
          <w:sz w:val="24"/>
          <w:szCs w:val="24"/>
        </w:rPr>
        <w:t>status</w:t>
      </w:r>
      <w:r w:rsidRPr="004E2E14">
        <w:rPr>
          <w:rFonts w:ascii="Times New Roman" w:hAnsi="Times New Roman" w:cs="Times New Roman"/>
          <w:sz w:val="24"/>
          <w:szCs w:val="24"/>
        </w:rPr>
        <w:t xml:space="preserve"> and the performance of their duties must be such as to preclude not only any direct influence, in the form of instructions, but also </w:t>
      </w:r>
      <w:r w:rsidR="005A13B2">
        <w:rPr>
          <w:rFonts w:ascii="Times New Roman" w:hAnsi="Times New Roman" w:cs="Times New Roman"/>
          <w:sz w:val="24"/>
          <w:szCs w:val="24"/>
        </w:rPr>
        <w:t xml:space="preserve">all </w:t>
      </w:r>
      <w:r w:rsidRPr="004E2E14">
        <w:rPr>
          <w:rFonts w:ascii="Times New Roman" w:hAnsi="Times New Roman" w:cs="Times New Roman"/>
          <w:sz w:val="24"/>
          <w:szCs w:val="24"/>
        </w:rPr>
        <w:t xml:space="preserve">types of influence which are more indirect </w:t>
      </w:r>
      <w:r w:rsidR="005A13B2">
        <w:rPr>
          <w:rFonts w:ascii="Times New Roman" w:hAnsi="Times New Roman" w:cs="Times New Roman"/>
          <w:sz w:val="24"/>
          <w:szCs w:val="24"/>
        </w:rPr>
        <w:t>but</w:t>
      </w:r>
      <w:r w:rsidRPr="004E2E14">
        <w:rPr>
          <w:rFonts w:ascii="Times New Roman" w:hAnsi="Times New Roman" w:cs="Times New Roman"/>
          <w:sz w:val="24"/>
          <w:szCs w:val="24"/>
        </w:rPr>
        <w:t xml:space="preserve"> liable to have an effect on their decisions, and thus preclude a lack of appearance of independence or impartiality likely to prejudice the trust which justice in a democratic society governed by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must inspire in individuals.</w:t>
      </w:r>
      <w:r w:rsidRPr="004E2E14">
        <w:rPr>
          <w:rStyle w:val="Refdenotaalpie"/>
          <w:rFonts w:ascii="Times New Roman" w:hAnsi="Times New Roman" w:cs="Times New Roman"/>
          <w:sz w:val="24"/>
          <w:szCs w:val="24"/>
        </w:rPr>
        <w:footnoteReference w:id="51"/>
      </w:r>
      <w:r w:rsidRPr="004E2E14">
        <w:rPr>
          <w:rFonts w:ascii="Times New Roman" w:hAnsi="Times New Roman" w:cs="Times New Roman"/>
          <w:sz w:val="24"/>
          <w:szCs w:val="24"/>
        </w:rPr>
        <w:t xml:space="preserve"> </w:t>
      </w:r>
      <w:r w:rsidR="00EF0428" w:rsidRPr="004E2E14">
        <w:rPr>
          <w:rFonts w:ascii="Times New Roman" w:hAnsi="Times New Roman" w:cs="Times New Roman"/>
          <w:sz w:val="24"/>
          <w:szCs w:val="24"/>
        </w:rPr>
        <w:t>In fact, m</w:t>
      </w:r>
      <w:r w:rsidRPr="004E2E14">
        <w:rPr>
          <w:rFonts w:ascii="Times New Roman" w:hAnsi="Times New Roman" w:cs="Times New Roman"/>
          <w:sz w:val="24"/>
          <w:szCs w:val="24"/>
        </w:rPr>
        <w:t>ore crucial than the impartiality of the system is the appearance of impartiality in the eyes of the individuals who are expected to voluntarily follow the rules because they trust the legal system’s fairness.</w:t>
      </w:r>
      <w:r w:rsidRPr="004E2E14">
        <w:rPr>
          <w:rStyle w:val="Refdenotaalpie"/>
          <w:rFonts w:ascii="Times New Roman" w:hAnsi="Times New Roman" w:cs="Times New Roman"/>
          <w:sz w:val="24"/>
          <w:szCs w:val="24"/>
        </w:rPr>
        <w:footnoteReference w:id="52"/>
      </w:r>
    </w:p>
    <w:p w14:paraId="7F441DDF" w14:textId="4A0092E3" w:rsidR="004148FA" w:rsidRPr="004E2E14" w:rsidRDefault="00A1051C"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Appropriate</w:t>
      </w:r>
      <w:r w:rsidR="004148FA" w:rsidRPr="004E2E14">
        <w:rPr>
          <w:rFonts w:ascii="Times New Roman" w:hAnsi="Times New Roman" w:cs="Times New Roman"/>
          <w:sz w:val="24"/>
          <w:szCs w:val="24"/>
        </w:rPr>
        <w:t xml:space="preserve"> guarantees of independence and impartiality presuppose rules regarding the composition of the court, the appointment, length of service</w:t>
      </w:r>
      <w:r w:rsidR="00ED42B1">
        <w:rPr>
          <w:rFonts w:ascii="Times New Roman" w:hAnsi="Times New Roman" w:cs="Times New Roman"/>
          <w:sz w:val="24"/>
          <w:szCs w:val="24"/>
        </w:rPr>
        <w:t>,</w:t>
      </w:r>
      <w:r w:rsidR="004148FA" w:rsidRPr="004E2E14">
        <w:rPr>
          <w:rFonts w:ascii="Times New Roman" w:hAnsi="Times New Roman" w:cs="Times New Roman"/>
          <w:sz w:val="24"/>
          <w:szCs w:val="24"/>
        </w:rPr>
        <w:t xml:space="preserve"> and grounds for abstention, rejection, and dismissal of its members, that are such as to dispel any reasonable doubt.</w:t>
      </w:r>
      <w:r w:rsidR="004148FA" w:rsidRPr="004E2E14">
        <w:rPr>
          <w:rStyle w:val="Refdenotaalpie"/>
          <w:rFonts w:ascii="Times New Roman" w:hAnsi="Times New Roman" w:cs="Times New Roman"/>
          <w:sz w:val="24"/>
          <w:szCs w:val="24"/>
        </w:rPr>
        <w:footnoteReference w:id="53"/>
      </w:r>
      <w:r w:rsidR="004148FA" w:rsidRPr="004E2E14">
        <w:rPr>
          <w:rFonts w:ascii="Times New Roman" w:hAnsi="Times New Roman" w:cs="Times New Roman"/>
          <w:sz w:val="24"/>
          <w:szCs w:val="24"/>
        </w:rPr>
        <w:t xml:space="preserve"> Th</w:t>
      </w:r>
      <w:r w:rsidR="00A14940" w:rsidRPr="004E2E14">
        <w:rPr>
          <w:rFonts w:ascii="Times New Roman" w:hAnsi="Times New Roman" w:cs="Times New Roman"/>
          <w:sz w:val="24"/>
          <w:szCs w:val="24"/>
        </w:rPr>
        <w:t>e</w:t>
      </w:r>
      <w:r w:rsidR="004148FA" w:rsidRPr="004E2E14">
        <w:rPr>
          <w:rFonts w:ascii="Times New Roman" w:hAnsi="Times New Roman" w:cs="Times New Roman"/>
          <w:sz w:val="24"/>
          <w:szCs w:val="24"/>
        </w:rPr>
        <w:t xml:space="preserve"> </w:t>
      </w:r>
      <w:r w:rsidRPr="004E2E14">
        <w:rPr>
          <w:rFonts w:ascii="Times New Roman" w:hAnsi="Times New Roman" w:cs="Times New Roman"/>
          <w:sz w:val="24"/>
          <w:szCs w:val="24"/>
        </w:rPr>
        <w:t xml:space="preserve">judges’ </w:t>
      </w:r>
      <w:r w:rsidR="004148FA" w:rsidRPr="004E2E14">
        <w:rPr>
          <w:rFonts w:ascii="Times New Roman" w:hAnsi="Times New Roman" w:cs="Times New Roman"/>
          <w:sz w:val="24"/>
          <w:szCs w:val="24"/>
        </w:rPr>
        <w:t xml:space="preserve">freedom from all external intervention or pressure </w:t>
      </w:r>
      <w:r w:rsidRPr="004E2E14">
        <w:rPr>
          <w:rFonts w:ascii="Times New Roman" w:hAnsi="Times New Roman" w:cs="Times New Roman"/>
          <w:sz w:val="24"/>
          <w:szCs w:val="24"/>
        </w:rPr>
        <w:t xml:space="preserve">also </w:t>
      </w:r>
      <w:r w:rsidR="004148FA" w:rsidRPr="004E2E14">
        <w:rPr>
          <w:rFonts w:ascii="Times New Roman" w:hAnsi="Times New Roman" w:cs="Times New Roman"/>
          <w:sz w:val="24"/>
          <w:szCs w:val="24"/>
        </w:rPr>
        <w:t xml:space="preserve">requires irremovability, without consent, unless removal is justified by </w:t>
      </w:r>
      <w:r w:rsidR="00ED42B1">
        <w:rPr>
          <w:rFonts w:ascii="Times New Roman" w:hAnsi="Times New Roman" w:cs="Times New Roman"/>
          <w:sz w:val="24"/>
          <w:szCs w:val="24"/>
        </w:rPr>
        <w:t>proportionate, legitimate and compelling objectives</w:t>
      </w:r>
      <w:r w:rsidR="004148FA" w:rsidRPr="004E2E14">
        <w:rPr>
          <w:rStyle w:val="Refdenotaalpie"/>
          <w:rFonts w:ascii="Times New Roman" w:hAnsi="Times New Roman" w:cs="Times New Roman"/>
          <w:sz w:val="24"/>
          <w:szCs w:val="24"/>
        </w:rPr>
        <w:footnoteReference w:id="54"/>
      </w:r>
      <w:r w:rsidR="004148FA" w:rsidRPr="004E2E14">
        <w:rPr>
          <w:rFonts w:ascii="Times New Roman" w:hAnsi="Times New Roman" w:cs="Times New Roman"/>
          <w:sz w:val="24"/>
          <w:szCs w:val="24"/>
        </w:rPr>
        <w:t xml:space="preserve">, and if it doesn’t raise reasonable doubt </w:t>
      </w:r>
      <w:r w:rsidR="00BC47A8" w:rsidRPr="004E2E14">
        <w:rPr>
          <w:rFonts w:ascii="Times New Roman" w:hAnsi="Times New Roman" w:cs="Times New Roman"/>
          <w:sz w:val="24"/>
          <w:szCs w:val="24"/>
        </w:rPr>
        <w:t>about the independence</w:t>
      </w:r>
      <w:r w:rsidR="004148FA" w:rsidRPr="004E2E14">
        <w:rPr>
          <w:rFonts w:ascii="Times New Roman" w:hAnsi="Times New Roman" w:cs="Times New Roman"/>
          <w:sz w:val="24"/>
          <w:szCs w:val="24"/>
        </w:rPr>
        <w:t xml:space="preserve"> of the courts </w:t>
      </w:r>
      <w:r w:rsidR="00BC47A8" w:rsidRPr="004E2E14">
        <w:rPr>
          <w:rFonts w:ascii="Times New Roman" w:hAnsi="Times New Roman" w:cs="Times New Roman"/>
          <w:sz w:val="24"/>
          <w:szCs w:val="24"/>
        </w:rPr>
        <w:t>from</w:t>
      </w:r>
      <w:r w:rsidR="004148FA" w:rsidRPr="004E2E14">
        <w:rPr>
          <w:rFonts w:ascii="Times New Roman" w:hAnsi="Times New Roman" w:cs="Times New Roman"/>
          <w:sz w:val="24"/>
          <w:szCs w:val="24"/>
        </w:rPr>
        <w:t xml:space="preserve"> external factors and their neutrality </w:t>
      </w:r>
      <w:r w:rsidR="00ED42B1">
        <w:rPr>
          <w:rFonts w:ascii="Times New Roman" w:hAnsi="Times New Roman" w:cs="Times New Roman"/>
          <w:sz w:val="24"/>
          <w:szCs w:val="24"/>
        </w:rPr>
        <w:t>concerning</w:t>
      </w:r>
      <w:r w:rsidR="004148FA" w:rsidRPr="004E2E14">
        <w:rPr>
          <w:rFonts w:ascii="Times New Roman" w:hAnsi="Times New Roman" w:cs="Times New Roman"/>
          <w:sz w:val="24"/>
          <w:szCs w:val="24"/>
        </w:rPr>
        <w:t xml:space="preserve"> the interests before them</w:t>
      </w:r>
      <w:r w:rsidR="004148FA" w:rsidRPr="004E2E14">
        <w:rPr>
          <w:rStyle w:val="Refdenotaalpie"/>
          <w:rFonts w:ascii="Times New Roman" w:hAnsi="Times New Roman" w:cs="Times New Roman"/>
          <w:sz w:val="24"/>
          <w:szCs w:val="24"/>
        </w:rPr>
        <w:footnoteReference w:id="55"/>
      </w:r>
      <w:r w:rsidR="004148FA" w:rsidRPr="004E2E14">
        <w:rPr>
          <w:rFonts w:ascii="Times New Roman" w:hAnsi="Times New Roman" w:cs="Times New Roman"/>
          <w:sz w:val="24"/>
          <w:szCs w:val="24"/>
        </w:rPr>
        <w:t>. In the same way, the disciplinary regime of judges.</w:t>
      </w:r>
      <w:r w:rsidR="004148FA" w:rsidRPr="004E2E14">
        <w:rPr>
          <w:rStyle w:val="Refdenotaalpie"/>
          <w:rFonts w:ascii="Times New Roman" w:hAnsi="Times New Roman" w:cs="Times New Roman"/>
          <w:sz w:val="24"/>
          <w:szCs w:val="24"/>
        </w:rPr>
        <w:footnoteReference w:id="56"/>
      </w:r>
      <w:r w:rsidR="004148FA" w:rsidRPr="004E2E14">
        <w:rPr>
          <w:rFonts w:ascii="Times New Roman" w:hAnsi="Times New Roman" w:cs="Times New Roman"/>
          <w:sz w:val="24"/>
          <w:szCs w:val="24"/>
        </w:rPr>
        <w:t xml:space="preserve"> With regards to the process of appointing judges, we must underline its importance for the legitimacy and proper functioning of the judiciary in a democratic state governed by the </w:t>
      </w:r>
      <w:r w:rsidR="00062F6C">
        <w:rPr>
          <w:rFonts w:ascii="Times New Roman" w:hAnsi="Times New Roman" w:cs="Times New Roman"/>
          <w:sz w:val="24"/>
          <w:szCs w:val="24"/>
        </w:rPr>
        <w:t>Rule of Law</w:t>
      </w:r>
      <w:r w:rsidR="004148FA" w:rsidRPr="004E2E14">
        <w:rPr>
          <w:rFonts w:ascii="Times New Roman" w:hAnsi="Times New Roman" w:cs="Times New Roman"/>
          <w:sz w:val="24"/>
          <w:szCs w:val="24"/>
        </w:rPr>
        <w:t>. The independence of a court is judged primarily by the way in which its members are appointed. It represents the cornerstone of the right to a fair trial.</w:t>
      </w:r>
      <w:r w:rsidR="004148FA" w:rsidRPr="004E2E14">
        <w:rPr>
          <w:rStyle w:val="Refdenotaalpie"/>
          <w:rFonts w:ascii="Times New Roman" w:hAnsi="Times New Roman" w:cs="Times New Roman"/>
          <w:sz w:val="24"/>
          <w:szCs w:val="24"/>
        </w:rPr>
        <w:footnoteReference w:id="57"/>
      </w:r>
    </w:p>
    <w:p w14:paraId="6D5A294C" w14:textId="36EF2752" w:rsidR="00A2308C" w:rsidRPr="004E2E14" w:rsidRDefault="00A2308C" w:rsidP="001D12B5">
      <w:pPr>
        <w:pStyle w:val="Prrafodelista"/>
        <w:spacing w:after="0" w:line="240" w:lineRule="auto"/>
        <w:ind w:left="0"/>
        <w:jc w:val="both"/>
        <w:rPr>
          <w:rFonts w:ascii="Times New Roman" w:hAnsi="Times New Roman" w:cs="Times New Roman"/>
          <w:sz w:val="24"/>
          <w:szCs w:val="24"/>
        </w:rPr>
      </w:pPr>
    </w:p>
    <w:p w14:paraId="364E5206" w14:textId="5083021D" w:rsidR="00A2308C" w:rsidRPr="004E2E14" w:rsidRDefault="00A2308C" w:rsidP="001D12B5">
      <w:pPr>
        <w:pStyle w:val="Prrafodelista"/>
        <w:numPr>
          <w:ilvl w:val="1"/>
          <w:numId w:val="22"/>
        </w:numPr>
        <w:spacing w:after="0" w:line="240" w:lineRule="auto"/>
        <w:ind w:left="0" w:firstLine="0"/>
        <w:jc w:val="both"/>
        <w:rPr>
          <w:rFonts w:ascii="Times New Roman" w:hAnsi="Times New Roman" w:cs="Times New Roman"/>
          <w:sz w:val="24"/>
          <w:szCs w:val="24"/>
        </w:rPr>
      </w:pPr>
      <w:r w:rsidRPr="004E2E14">
        <w:rPr>
          <w:rFonts w:ascii="Times New Roman" w:hAnsi="Times New Roman" w:cs="Times New Roman"/>
          <w:sz w:val="24"/>
          <w:szCs w:val="24"/>
        </w:rPr>
        <w:lastRenderedPageBreak/>
        <w:t>Threats in Central and Eastern Europe</w:t>
      </w:r>
    </w:p>
    <w:p w14:paraId="3A727EF8" w14:textId="76F341E3" w:rsidR="00D17FE7" w:rsidRPr="004E2E14" w:rsidRDefault="009D235D"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 xml:space="preserve">Judicial independence is </w:t>
      </w:r>
      <w:r w:rsidR="007F7C84" w:rsidRPr="004E2E14">
        <w:rPr>
          <w:rFonts w:ascii="Times New Roman" w:hAnsi="Times New Roman" w:cs="Times New Roman"/>
          <w:sz w:val="24"/>
          <w:szCs w:val="24"/>
        </w:rPr>
        <w:t xml:space="preserve">thus </w:t>
      </w:r>
      <w:r w:rsidRPr="004E2E14">
        <w:rPr>
          <w:rFonts w:ascii="Times New Roman" w:hAnsi="Times New Roman" w:cs="Times New Roman"/>
          <w:sz w:val="24"/>
          <w:szCs w:val="24"/>
        </w:rPr>
        <w:t xml:space="preserve">vital for the fairness of judicial proceedings. </w:t>
      </w:r>
      <w:r w:rsidR="00D17FE7" w:rsidRPr="004E2E14">
        <w:rPr>
          <w:rFonts w:ascii="Times New Roman" w:hAnsi="Times New Roman" w:cs="Times New Roman"/>
          <w:sz w:val="24"/>
          <w:szCs w:val="24"/>
        </w:rPr>
        <w:t>Consequently, w</w:t>
      </w:r>
      <w:r w:rsidR="00BB2CD7" w:rsidRPr="004E2E14">
        <w:rPr>
          <w:rFonts w:ascii="Times New Roman" w:hAnsi="Times New Roman" w:cs="Times New Roman"/>
          <w:sz w:val="24"/>
          <w:szCs w:val="24"/>
        </w:rPr>
        <w:t xml:space="preserve">hen reforming their justice systems, </w:t>
      </w:r>
      <w:r w:rsidR="00062F6C">
        <w:rPr>
          <w:rFonts w:ascii="Times New Roman" w:hAnsi="Times New Roman" w:cs="Times New Roman"/>
          <w:sz w:val="24"/>
          <w:szCs w:val="24"/>
        </w:rPr>
        <w:t>Member States</w:t>
      </w:r>
      <w:r w:rsidR="00BB2CD7" w:rsidRPr="004E2E14">
        <w:rPr>
          <w:rFonts w:ascii="Times New Roman" w:hAnsi="Times New Roman" w:cs="Times New Roman"/>
          <w:sz w:val="24"/>
          <w:szCs w:val="24"/>
        </w:rPr>
        <w:t xml:space="preserve"> must fully respect the requirements set by EU law and the case law of the </w:t>
      </w:r>
      <w:r w:rsidR="00C57929" w:rsidRPr="004E2E14">
        <w:rPr>
          <w:rFonts w:ascii="Times New Roman" w:hAnsi="Times New Roman" w:cs="Times New Roman"/>
          <w:sz w:val="24"/>
          <w:szCs w:val="24"/>
        </w:rPr>
        <w:t>CJEU</w:t>
      </w:r>
      <w:r w:rsidR="00BB2CD7" w:rsidRPr="004E2E14">
        <w:rPr>
          <w:rFonts w:ascii="Times New Roman" w:hAnsi="Times New Roman" w:cs="Times New Roman"/>
          <w:sz w:val="24"/>
          <w:szCs w:val="24"/>
        </w:rPr>
        <w:t>.</w:t>
      </w:r>
      <w:r w:rsidR="00BB2CD7" w:rsidRPr="004E2E14">
        <w:rPr>
          <w:rStyle w:val="Refdenotaalpie"/>
          <w:rFonts w:ascii="Times New Roman" w:hAnsi="Times New Roman" w:cs="Times New Roman"/>
          <w:sz w:val="24"/>
          <w:szCs w:val="24"/>
        </w:rPr>
        <w:footnoteReference w:id="58"/>
      </w:r>
      <w:r w:rsidR="00BB2CD7" w:rsidRPr="004E2E14">
        <w:rPr>
          <w:rFonts w:ascii="Times New Roman" w:hAnsi="Times New Roman" w:cs="Times New Roman"/>
          <w:sz w:val="24"/>
          <w:szCs w:val="24"/>
        </w:rPr>
        <w:t xml:space="preserve"> </w:t>
      </w:r>
    </w:p>
    <w:p w14:paraId="139A3F0C" w14:textId="14B0CA61" w:rsidR="00D56A30" w:rsidRPr="004E2E14" w:rsidRDefault="00BB2CD7"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What has not been happening</w:t>
      </w:r>
      <w:r w:rsidR="0093541D" w:rsidRPr="004E2E14">
        <w:rPr>
          <w:rFonts w:ascii="Times New Roman" w:hAnsi="Times New Roman" w:cs="Times New Roman"/>
          <w:sz w:val="24"/>
          <w:szCs w:val="24"/>
        </w:rPr>
        <w:t xml:space="preserve">, </w:t>
      </w:r>
      <w:r w:rsidR="007A61B6" w:rsidRPr="004E2E14">
        <w:rPr>
          <w:rFonts w:ascii="Times New Roman" w:hAnsi="Times New Roman" w:cs="Times New Roman"/>
          <w:sz w:val="24"/>
          <w:szCs w:val="24"/>
        </w:rPr>
        <w:t xml:space="preserve">particularly in Central and Eastern </w:t>
      </w:r>
      <w:r w:rsidR="00ED42B1">
        <w:rPr>
          <w:rFonts w:ascii="Times New Roman" w:hAnsi="Times New Roman" w:cs="Times New Roman"/>
          <w:sz w:val="24"/>
          <w:szCs w:val="24"/>
        </w:rPr>
        <w:t>European</w:t>
      </w:r>
      <w:r w:rsidR="007A61B6" w:rsidRPr="004E2E14">
        <w:rPr>
          <w:rFonts w:ascii="Times New Roman" w:hAnsi="Times New Roman" w:cs="Times New Roman"/>
          <w:sz w:val="24"/>
          <w:szCs w:val="24"/>
        </w:rPr>
        <w:t xml:space="preserve"> </w:t>
      </w:r>
      <w:r w:rsidR="00062F6C">
        <w:rPr>
          <w:rFonts w:ascii="Times New Roman" w:hAnsi="Times New Roman" w:cs="Times New Roman"/>
          <w:sz w:val="24"/>
          <w:szCs w:val="24"/>
        </w:rPr>
        <w:t>Member States</w:t>
      </w:r>
      <w:r w:rsidR="007A61B6" w:rsidRPr="004E2E14">
        <w:rPr>
          <w:rFonts w:ascii="Times New Roman" w:hAnsi="Times New Roman" w:cs="Times New Roman"/>
          <w:sz w:val="24"/>
          <w:szCs w:val="24"/>
        </w:rPr>
        <w:t>, which affects the credibility of judicial systems. A</w:t>
      </w:r>
      <w:r w:rsidR="0093541D" w:rsidRPr="004E2E14">
        <w:rPr>
          <w:rFonts w:ascii="Times New Roman" w:hAnsi="Times New Roman" w:cs="Times New Roman"/>
          <w:sz w:val="24"/>
          <w:szCs w:val="24"/>
        </w:rPr>
        <w:t>mong citizens</w:t>
      </w:r>
      <w:r w:rsidR="00C130F1" w:rsidRPr="004E2E14">
        <w:rPr>
          <w:rFonts w:ascii="Times New Roman" w:hAnsi="Times New Roman" w:cs="Times New Roman"/>
          <w:sz w:val="24"/>
          <w:szCs w:val="24"/>
        </w:rPr>
        <w:t xml:space="preserve"> of </w:t>
      </w:r>
      <w:r w:rsidR="007A61B6" w:rsidRPr="004E2E14">
        <w:rPr>
          <w:rFonts w:ascii="Times New Roman" w:hAnsi="Times New Roman" w:cs="Times New Roman"/>
          <w:sz w:val="24"/>
          <w:szCs w:val="24"/>
        </w:rPr>
        <w:t xml:space="preserve">those </w:t>
      </w:r>
      <w:r w:rsidR="00062F6C">
        <w:rPr>
          <w:rFonts w:ascii="Times New Roman" w:hAnsi="Times New Roman" w:cs="Times New Roman"/>
          <w:sz w:val="24"/>
          <w:szCs w:val="24"/>
        </w:rPr>
        <w:t>Member States</w:t>
      </w:r>
      <w:r w:rsidR="00ED42B1">
        <w:rPr>
          <w:rFonts w:ascii="Times New Roman" w:hAnsi="Times New Roman" w:cs="Times New Roman"/>
          <w:sz w:val="24"/>
          <w:szCs w:val="24"/>
        </w:rPr>
        <w:t>,</w:t>
      </w:r>
      <w:r w:rsidR="007A61B6" w:rsidRPr="004E2E14">
        <w:rPr>
          <w:rFonts w:ascii="Times New Roman" w:hAnsi="Times New Roman" w:cs="Times New Roman"/>
          <w:sz w:val="24"/>
          <w:szCs w:val="24"/>
        </w:rPr>
        <w:t xml:space="preserve"> </w:t>
      </w:r>
      <w:r w:rsidR="0093541D" w:rsidRPr="004E2E14">
        <w:rPr>
          <w:rFonts w:ascii="Times New Roman" w:hAnsi="Times New Roman" w:cs="Times New Roman"/>
          <w:sz w:val="24"/>
          <w:szCs w:val="24"/>
        </w:rPr>
        <w:t>the perception of judicial independence has decreased.</w:t>
      </w:r>
      <w:r w:rsidR="00C130F1" w:rsidRPr="004E2E14">
        <w:rPr>
          <w:rFonts w:ascii="Times New Roman" w:hAnsi="Times New Roman" w:cs="Times New Roman"/>
          <w:sz w:val="24"/>
          <w:szCs w:val="24"/>
        </w:rPr>
        <w:t xml:space="preserve"> For instance, in Finland, Denmark, Austria, Luxembourg, the Netherlands</w:t>
      </w:r>
      <w:r w:rsidR="00ED42B1">
        <w:rPr>
          <w:rFonts w:ascii="Times New Roman" w:hAnsi="Times New Roman" w:cs="Times New Roman"/>
          <w:sz w:val="24"/>
          <w:szCs w:val="24"/>
        </w:rPr>
        <w:t>,</w:t>
      </w:r>
      <w:r w:rsidR="00C130F1" w:rsidRPr="004E2E14">
        <w:rPr>
          <w:rFonts w:ascii="Times New Roman" w:hAnsi="Times New Roman" w:cs="Times New Roman"/>
          <w:sz w:val="24"/>
          <w:szCs w:val="24"/>
        </w:rPr>
        <w:t xml:space="preserve"> and Germany, the level of perceived independence remains particularly high among the </w:t>
      </w:r>
      <w:r w:rsidR="007A61B6" w:rsidRPr="004E2E14">
        <w:rPr>
          <w:rFonts w:ascii="Times New Roman" w:hAnsi="Times New Roman" w:cs="Times New Roman"/>
          <w:sz w:val="24"/>
          <w:szCs w:val="24"/>
        </w:rPr>
        <w:t>public</w:t>
      </w:r>
      <w:r w:rsidR="00C130F1" w:rsidRPr="004E2E14">
        <w:rPr>
          <w:rFonts w:ascii="Times New Roman" w:hAnsi="Times New Roman" w:cs="Times New Roman"/>
          <w:sz w:val="24"/>
          <w:szCs w:val="24"/>
        </w:rPr>
        <w:t xml:space="preserve"> (above 75 %), while in Slovakia, Poland</w:t>
      </w:r>
      <w:r w:rsidR="00ED42B1">
        <w:rPr>
          <w:rFonts w:ascii="Times New Roman" w:hAnsi="Times New Roman" w:cs="Times New Roman"/>
          <w:sz w:val="24"/>
          <w:szCs w:val="24"/>
        </w:rPr>
        <w:t>,</w:t>
      </w:r>
      <w:r w:rsidR="00C130F1" w:rsidRPr="004E2E14">
        <w:rPr>
          <w:rFonts w:ascii="Times New Roman" w:hAnsi="Times New Roman" w:cs="Times New Roman"/>
          <w:sz w:val="24"/>
          <w:szCs w:val="24"/>
        </w:rPr>
        <w:t xml:space="preserve"> and Croatia, it remains </w:t>
      </w:r>
      <w:r w:rsidR="00D86F4B" w:rsidRPr="004E2E14">
        <w:rPr>
          <w:rFonts w:ascii="Times New Roman" w:hAnsi="Times New Roman" w:cs="Times New Roman"/>
          <w:sz w:val="24"/>
          <w:szCs w:val="24"/>
        </w:rPr>
        <w:t>extremely low</w:t>
      </w:r>
      <w:r w:rsidR="00C130F1" w:rsidRPr="004E2E14">
        <w:rPr>
          <w:rFonts w:ascii="Times New Roman" w:hAnsi="Times New Roman" w:cs="Times New Roman"/>
          <w:sz w:val="24"/>
          <w:szCs w:val="24"/>
        </w:rPr>
        <w:t xml:space="preserve"> (below 30%).</w:t>
      </w:r>
      <w:r w:rsidR="00C130F1" w:rsidRPr="004E2E14">
        <w:rPr>
          <w:rStyle w:val="Refdenotaalpie"/>
          <w:rFonts w:ascii="Times New Roman" w:hAnsi="Times New Roman" w:cs="Times New Roman"/>
          <w:sz w:val="24"/>
          <w:szCs w:val="24"/>
        </w:rPr>
        <w:footnoteReference w:id="59"/>
      </w:r>
      <w:r w:rsidR="0093541D" w:rsidRPr="004E2E14">
        <w:rPr>
          <w:rFonts w:ascii="Times New Roman" w:hAnsi="Times New Roman" w:cs="Times New Roman"/>
          <w:sz w:val="24"/>
          <w:szCs w:val="24"/>
        </w:rPr>
        <w:t xml:space="preserve"> </w:t>
      </w:r>
    </w:p>
    <w:p w14:paraId="311125CD" w14:textId="12E45829" w:rsidR="00323DF2" w:rsidRPr="004E2E14" w:rsidRDefault="00A62B65"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 xml:space="preserve">The main concerns relate </w:t>
      </w:r>
      <w:r w:rsidR="006152F3" w:rsidRPr="004E2E14">
        <w:rPr>
          <w:rFonts w:ascii="Times New Roman" w:hAnsi="Times New Roman" w:cs="Times New Roman"/>
          <w:sz w:val="24"/>
          <w:szCs w:val="24"/>
        </w:rPr>
        <w:t>to the way judges are selected and appointed, the increase or decrease in their salaries</w:t>
      </w:r>
      <w:r w:rsidR="00ED42B1">
        <w:rPr>
          <w:rFonts w:ascii="Times New Roman" w:hAnsi="Times New Roman" w:cs="Times New Roman"/>
          <w:sz w:val="24"/>
          <w:szCs w:val="24"/>
        </w:rPr>
        <w:t>,</w:t>
      </w:r>
      <w:r w:rsidR="006152F3" w:rsidRPr="004E2E14">
        <w:rPr>
          <w:rFonts w:ascii="Times New Roman" w:hAnsi="Times New Roman" w:cs="Times New Roman"/>
          <w:sz w:val="24"/>
          <w:szCs w:val="24"/>
        </w:rPr>
        <w:t xml:space="preserve"> and the disciplinary proceedings that can be applied to them, to prevent them from being subject to external pressure and thus avoid any kind of political control of their decisions.</w:t>
      </w:r>
      <w:r w:rsidR="006152F3" w:rsidRPr="004E2E14">
        <w:rPr>
          <w:rStyle w:val="Refdenotaalpie"/>
          <w:rFonts w:ascii="Times New Roman" w:hAnsi="Times New Roman" w:cs="Times New Roman"/>
          <w:sz w:val="24"/>
          <w:szCs w:val="24"/>
        </w:rPr>
        <w:footnoteReference w:id="60"/>
      </w:r>
      <w:r w:rsidR="006152F3" w:rsidRPr="004E2E14">
        <w:rPr>
          <w:rFonts w:ascii="Times New Roman" w:hAnsi="Times New Roman" w:cs="Times New Roman"/>
          <w:sz w:val="24"/>
          <w:szCs w:val="24"/>
        </w:rPr>
        <w:t xml:space="preserve"> </w:t>
      </w:r>
      <w:r w:rsidR="00323DF2" w:rsidRPr="004E2E14">
        <w:rPr>
          <w:rFonts w:ascii="Times New Roman" w:hAnsi="Times New Roman" w:cs="Times New Roman"/>
          <w:sz w:val="24"/>
          <w:szCs w:val="24"/>
        </w:rPr>
        <w:t xml:space="preserve">Disciplinary proceedings need to be carried out with the involvement of an independent body and procedures must fully safeguard the rights enshrined in Articles 47 </w:t>
      </w:r>
      <w:r w:rsidR="00C57929" w:rsidRPr="004E2E14">
        <w:rPr>
          <w:rFonts w:ascii="Times New Roman" w:hAnsi="Times New Roman" w:cs="Times New Roman"/>
          <w:sz w:val="24"/>
          <w:szCs w:val="24"/>
        </w:rPr>
        <w:t>(</w:t>
      </w:r>
      <w:r w:rsidR="00173EA7" w:rsidRPr="004E2E14">
        <w:rPr>
          <w:rFonts w:ascii="Times New Roman" w:hAnsi="Times New Roman" w:cs="Times New Roman"/>
          <w:sz w:val="24"/>
          <w:szCs w:val="24"/>
        </w:rPr>
        <w:t>r</w:t>
      </w:r>
      <w:r w:rsidR="00C57929" w:rsidRPr="004E2E14">
        <w:rPr>
          <w:rFonts w:ascii="Times New Roman" w:hAnsi="Times New Roman" w:cs="Times New Roman"/>
          <w:sz w:val="24"/>
          <w:szCs w:val="24"/>
        </w:rPr>
        <w:t xml:space="preserve">ight to an effective remedy and to a fair trial) </w:t>
      </w:r>
      <w:r w:rsidR="00323DF2" w:rsidRPr="004E2E14">
        <w:rPr>
          <w:rFonts w:ascii="Times New Roman" w:hAnsi="Times New Roman" w:cs="Times New Roman"/>
          <w:sz w:val="24"/>
          <w:szCs w:val="24"/>
        </w:rPr>
        <w:t>and 48</w:t>
      </w:r>
      <w:r w:rsidR="00C57929" w:rsidRPr="004E2E14">
        <w:rPr>
          <w:rFonts w:ascii="Times New Roman" w:hAnsi="Times New Roman" w:cs="Times New Roman"/>
          <w:sz w:val="24"/>
          <w:szCs w:val="24"/>
        </w:rPr>
        <w:t xml:space="preserve"> (</w:t>
      </w:r>
      <w:r w:rsidR="00173EA7" w:rsidRPr="004E2E14">
        <w:rPr>
          <w:rFonts w:ascii="Times New Roman" w:hAnsi="Times New Roman" w:cs="Times New Roman"/>
          <w:sz w:val="24"/>
          <w:szCs w:val="24"/>
        </w:rPr>
        <w:t>p</w:t>
      </w:r>
      <w:r w:rsidR="00C57929" w:rsidRPr="004E2E14">
        <w:rPr>
          <w:rFonts w:ascii="Times New Roman" w:hAnsi="Times New Roman" w:cs="Times New Roman"/>
          <w:sz w:val="24"/>
          <w:szCs w:val="24"/>
        </w:rPr>
        <w:t xml:space="preserve">resumption of innocence and right of </w:t>
      </w:r>
      <w:r w:rsidR="00550E51" w:rsidRPr="004E2E14">
        <w:rPr>
          <w:rFonts w:ascii="Times New Roman" w:hAnsi="Times New Roman" w:cs="Times New Roman"/>
          <w:sz w:val="24"/>
          <w:szCs w:val="24"/>
        </w:rPr>
        <w:t>defen</w:t>
      </w:r>
      <w:r w:rsidR="00375579">
        <w:rPr>
          <w:rFonts w:ascii="Times New Roman" w:hAnsi="Times New Roman" w:cs="Times New Roman"/>
          <w:sz w:val="24"/>
          <w:szCs w:val="24"/>
        </w:rPr>
        <w:t>c</w:t>
      </w:r>
      <w:r w:rsidR="00550E51" w:rsidRPr="004E2E14">
        <w:rPr>
          <w:rFonts w:ascii="Times New Roman" w:hAnsi="Times New Roman" w:cs="Times New Roman"/>
          <w:sz w:val="24"/>
          <w:szCs w:val="24"/>
        </w:rPr>
        <w:t>e</w:t>
      </w:r>
      <w:r w:rsidR="00173EA7" w:rsidRPr="004E2E14">
        <w:rPr>
          <w:rFonts w:ascii="Times New Roman" w:hAnsi="Times New Roman" w:cs="Times New Roman"/>
          <w:sz w:val="24"/>
          <w:szCs w:val="24"/>
        </w:rPr>
        <w:t>)</w:t>
      </w:r>
      <w:r w:rsidR="00323DF2" w:rsidRPr="004E2E14">
        <w:rPr>
          <w:rFonts w:ascii="Times New Roman" w:hAnsi="Times New Roman" w:cs="Times New Roman"/>
          <w:sz w:val="24"/>
          <w:szCs w:val="24"/>
        </w:rPr>
        <w:t xml:space="preserve"> of the Charter, in particular the rights of </w:t>
      </w:r>
      <w:r w:rsidR="00550E51" w:rsidRPr="004E2E14">
        <w:rPr>
          <w:rFonts w:ascii="Times New Roman" w:hAnsi="Times New Roman" w:cs="Times New Roman"/>
          <w:sz w:val="24"/>
          <w:szCs w:val="24"/>
        </w:rPr>
        <w:t>defen</w:t>
      </w:r>
      <w:r w:rsidR="00375579">
        <w:rPr>
          <w:rFonts w:ascii="Times New Roman" w:hAnsi="Times New Roman" w:cs="Times New Roman"/>
          <w:sz w:val="24"/>
          <w:szCs w:val="24"/>
        </w:rPr>
        <w:t>c</w:t>
      </w:r>
      <w:r w:rsidR="00550E51" w:rsidRPr="004E2E14">
        <w:rPr>
          <w:rFonts w:ascii="Times New Roman" w:hAnsi="Times New Roman" w:cs="Times New Roman"/>
          <w:sz w:val="24"/>
          <w:szCs w:val="24"/>
        </w:rPr>
        <w:t>e</w:t>
      </w:r>
      <w:r w:rsidR="007836D3" w:rsidRPr="004E2E14">
        <w:rPr>
          <w:rFonts w:ascii="Times New Roman" w:hAnsi="Times New Roman" w:cs="Times New Roman"/>
          <w:sz w:val="24"/>
          <w:szCs w:val="24"/>
        </w:rPr>
        <w:t>, mainly, the right to</w:t>
      </w:r>
      <w:r w:rsidR="00323DF2" w:rsidRPr="004E2E14">
        <w:rPr>
          <w:rFonts w:ascii="Times New Roman" w:hAnsi="Times New Roman" w:cs="Times New Roman"/>
          <w:sz w:val="24"/>
          <w:szCs w:val="24"/>
        </w:rPr>
        <w:t xml:space="preserve"> challenge in </w:t>
      </w:r>
      <w:r w:rsidR="003F0F50">
        <w:rPr>
          <w:rFonts w:ascii="Times New Roman" w:hAnsi="Times New Roman" w:cs="Times New Roman"/>
          <w:sz w:val="24"/>
          <w:szCs w:val="24"/>
        </w:rPr>
        <w:t>c</w:t>
      </w:r>
      <w:r w:rsidR="00323DF2" w:rsidRPr="004E2E14">
        <w:rPr>
          <w:rFonts w:ascii="Times New Roman" w:hAnsi="Times New Roman" w:cs="Times New Roman"/>
          <w:sz w:val="24"/>
          <w:szCs w:val="24"/>
        </w:rPr>
        <w:t>ourt</w:t>
      </w:r>
      <w:r w:rsidR="007836D3" w:rsidRPr="004E2E14">
        <w:rPr>
          <w:rFonts w:ascii="Times New Roman" w:hAnsi="Times New Roman" w:cs="Times New Roman"/>
          <w:sz w:val="24"/>
          <w:szCs w:val="24"/>
        </w:rPr>
        <w:t xml:space="preserve"> the disciplinary decisions</w:t>
      </w:r>
      <w:r w:rsidR="00323DF2" w:rsidRPr="004E2E14">
        <w:rPr>
          <w:rFonts w:ascii="Times New Roman" w:hAnsi="Times New Roman" w:cs="Times New Roman"/>
          <w:sz w:val="24"/>
          <w:szCs w:val="24"/>
        </w:rPr>
        <w:t>.</w:t>
      </w:r>
      <w:r w:rsidR="00323DF2" w:rsidRPr="004E2E14">
        <w:rPr>
          <w:rStyle w:val="Refdenotaalpie"/>
          <w:rFonts w:ascii="Times New Roman" w:hAnsi="Times New Roman" w:cs="Times New Roman"/>
          <w:sz w:val="24"/>
          <w:szCs w:val="24"/>
        </w:rPr>
        <w:footnoteReference w:id="61"/>
      </w:r>
      <w:r w:rsidR="00B40075" w:rsidRPr="004E2E14">
        <w:rPr>
          <w:rFonts w:ascii="Times New Roman" w:hAnsi="Times New Roman" w:cs="Times New Roman"/>
          <w:sz w:val="24"/>
          <w:szCs w:val="24"/>
        </w:rPr>
        <w:t xml:space="preserve"> Which is not always respected.</w:t>
      </w:r>
      <w:r w:rsidR="00242466" w:rsidRPr="004E2E14">
        <w:rPr>
          <w:rFonts w:ascii="Times New Roman" w:hAnsi="Times New Roman" w:cs="Times New Roman"/>
          <w:sz w:val="24"/>
          <w:szCs w:val="24"/>
        </w:rPr>
        <w:t xml:space="preserve"> </w:t>
      </w:r>
      <w:r w:rsidR="00550E51" w:rsidRPr="004E2E14">
        <w:rPr>
          <w:rFonts w:ascii="Times New Roman" w:hAnsi="Times New Roman" w:cs="Times New Roman"/>
          <w:sz w:val="24"/>
          <w:szCs w:val="24"/>
        </w:rPr>
        <w:t>Judges</w:t>
      </w:r>
      <w:r w:rsidR="00242466" w:rsidRPr="004E2E14">
        <w:rPr>
          <w:rFonts w:ascii="Times New Roman" w:hAnsi="Times New Roman" w:cs="Times New Roman"/>
          <w:sz w:val="24"/>
          <w:szCs w:val="24"/>
        </w:rPr>
        <w:t xml:space="preserve"> are more independent in some judicial systems than in others.</w:t>
      </w:r>
    </w:p>
    <w:p w14:paraId="4D739B7D" w14:textId="67AF3844" w:rsidR="00B40075" w:rsidRPr="004E2E14" w:rsidRDefault="00B40075"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In Romania, the application of disciplinary sanctions and the role of the Judicial Inspection </w:t>
      </w:r>
      <w:r w:rsidR="00412EE4">
        <w:rPr>
          <w:rFonts w:ascii="Times New Roman" w:hAnsi="Times New Roman" w:cs="Times New Roman"/>
          <w:sz w:val="24"/>
          <w:szCs w:val="24"/>
        </w:rPr>
        <w:t>generate</w:t>
      </w:r>
      <w:r w:rsidRPr="004E2E14">
        <w:rPr>
          <w:rFonts w:ascii="Times New Roman" w:hAnsi="Times New Roman" w:cs="Times New Roman"/>
          <w:sz w:val="24"/>
          <w:szCs w:val="24"/>
        </w:rPr>
        <w:t xml:space="preserve"> concerns, though draft legislation now in preparation is expected to reform the disciplinary regime. In Croatia, new laws requiring periodic security checks on judges and state attorneys conducted by the National Security Agency raised concerns. In Slovakia, concerns remain as regards the regime of criminal liability of judges for “abuse of law</w:t>
      </w:r>
      <w:r w:rsidR="00D86F4B" w:rsidRPr="004E2E14">
        <w:rPr>
          <w:rFonts w:ascii="Times New Roman" w:hAnsi="Times New Roman" w:cs="Times New Roman"/>
          <w:sz w:val="24"/>
          <w:szCs w:val="24"/>
        </w:rPr>
        <w:t>.”</w:t>
      </w:r>
      <w:r w:rsidRPr="004E2E14">
        <w:rPr>
          <w:rFonts w:ascii="Times New Roman" w:hAnsi="Times New Roman" w:cs="Times New Roman"/>
          <w:sz w:val="24"/>
          <w:szCs w:val="24"/>
        </w:rPr>
        <w:t xml:space="preserve"> In Slovenia, rules governing parliamentary inquiries lack safeguards on </w:t>
      </w:r>
      <w:r w:rsidR="00412EE4">
        <w:rPr>
          <w:rFonts w:ascii="Times New Roman" w:hAnsi="Times New Roman" w:cs="Times New Roman"/>
          <w:sz w:val="24"/>
          <w:szCs w:val="24"/>
        </w:rPr>
        <w:t xml:space="preserve">the </w:t>
      </w:r>
      <w:r w:rsidRPr="004E2E14">
        <w:rPr>
          <w:rFonts w:ascii="Times New Roman" w:hAnsi="Times New Roman" w:cs="Times New Roman"/>
          <w:sz w:val="24"/>
          <w:szCs w:val="24"/>
        </w:rPr>
        <w:t>independence of judges and state prosecutors.</w:t>
      </w:r>
      <w:r w:rsidRPr="004E2E14">
        <w:rPr>
          <w:rStyle w:val="Refdenotaalpie"/>
          <w:rFonts w:ascii="Times New Roman" w:hAnsi="Times New Roman" w:cs="Times New Roman"/>
          <w:sz w:val="24"/>
          <w:szCs w:val="24"/>
        </w:rPr>
        <w:footnoteReference w:id="62"/>
      </w:r>
      <w:r w:rsidR="00514F64" w:rsidRPr="004E2E14">
        <w:rPr>
          <w:rFonts w:ascii="Times New Roman" w:hAnsi="Times New Roman" w:cs="Times New Roman"/>
          <w:sz w:val="24"/>
          <w:szCs w:val="24"/>
        </w:rPr>
        <w:t xml:space="preserve"> </w:t>
      </w:r>
    </w:p>
    <w:p w14:paraId="240BB90D" w14:textId="2B183029" w:rsidR="00A2308C" w:rsidRPr="004E2E14" w:rsidRDefault="007836D3"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 xml:space="preserve">Of the several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w:t>
      </w:r>
      <w:r w:rsidR="004F12B1" w:rsidRPr="004E2E14">
        <w:rPr>
          <w:rFonts w:ascii="Times New Roman" w:hAnsi="Times New Roman" w:cs="Times New Roman"/>
          <w:sz w:val="24"/>
          <w:szCs w:val="24"/>
        </w:rPr>
        <w:t xml:space="preserve">of Central and Eastern Europe </w:t>
      </w:r>
      <w:r w:rsidRPr="004E2E14">
        <w:rPr>
          <w:rFonts w:ascii="Times New Roman" w:hAnsi="Times New Roman" w:cs="Times New Roman"/>
          <w:sz w:val="24"/>
          <w:szCs w:val="24"/>
        </w:rPr>
        <w:t xml:space="preserve">where there are concerns about the use of disciplinary proceedings to limit judicial independence, Poland </w:t>
      </w:r>
      <w:r w:rsidR="00A2308C" w:rsidRPr="004E2E14">
        <w:rPr>
          <w:rFonts w:ascii="Times New Roman" w:hAnsi="Times New Roman" w:cs="Times New Roman"/>
          <w:sz w:val="24"/>
          <w:szCs w:val="24"/>
        </w:rPr>
        <w:t>and Hungary are</w:t>
      </w:r>
      <w:r w:rsidRPr="004E2E14">
        <w:rPr>
          <w:rFonts w:ascii="Times New Roman" w:hAnsi="Times New Roman" w:cs="Times New Roman"/>
          <w:sz w:val="24"/>
          <w:szCs w:val="24"/>
        </w:rPr>
        <w:t xml:space="preserve"> the most worrisome case</w:t>
      </w:r>
      <w:r w:rsidR="0073331E" w:rsidRPr="004E2E14">
        <w:rPr>
          <w:rFonts w:ascii="Times New Roman" w:hAnsi="Times New Roman" w:cs="Times New Roman"/>
          <w:sz w:val="24"/>
          <w:szCs w:val="24"/>
        </w:rPr>
        <w:t>s</w:t>
      </w:r>
      <w:r w:rsidRPr="004E2E14">
        <w:rPr>
          <w:rFonts w:ascii="Times New Roman" w:hAnsi="Times New Roman" w:cs="Times New Roman"/>
          <w:sz w:val="24"/>
          <w:szCs w:val="24"/>
        </w:rPr>
        <w:t xml:space="preserve"> and ha</w:t>
      </w:r>
      <w:r w:rsidR="00A2308C" w:rsidRPr="004E2E14">
        <w:rPr>
          <w:rFonts w:ascii="Times New Roman" w:hAnsi="Times New Roman" w:cs="Times New Roman"/>
          <w:sz w:val="24"/>
          <w:szCs w:val="24"/>
        </w:rPr>
        <w:t>ve</w:t>
      </w:r>
      <w:r w:rsidRPr="004E2E14">
        <w:rPr>
          <w:rFonts w:ascii="Times New Roman" w:hAnsi="Times New Roman" w:cs="Times New Roman"/>
          <w:sz w:val="24"/>
          <w:szCs w:val="24"/>
        </w:rPr>
        <w:t xml:space="preserve"> even been the subject of</w:t>
      </w:r>
      <w:r w:rsidR="00ED4FE1" w:rsidRPr="004E2E14">
        <w:rPr>
          <w:rFonts w:ascii="Times New Roman" w:hAnsi="Times New Roman" w:cs="Times New Roman"/>
          <w:sz w:val="24"/>
          <w:szCs w:val="24"/>
        </w:rPr>
        <w:t xml:space="preserve"> rulings of the CJ</w:t>
      </w:r>
      <w:r w:rsidR="00173EA7" w:rsidRPr="004E2E14">
        <w:rPr>
          <w:rFonts w:ascii="Times New Roman" w:hAnsi="Times New Roman" w:cs="Times New Roman"/>
          <w:sz w:val="24"/>
          <w:szCs w:val="24"/>
        </w:rPr>
        <w:t xml:space="preserve">EU </w:t>
      </w:r>
      <w:r w:rsidR="00ED4FE1" w:rsidRPr="004E2E14">
        <w:rPr>
          <w:rFonts w:ascii="Times New Roman" w:hAnsi="Times New Roman" w:cs="Times New Roman"/>
          <w:sz w:val="24"/>
          <w:szCs w:val="24"/>
        </w:rPr>
        <w:t>and the ECtHR</w:t>
      </w:r>
      <w:r w:rsidR="00827248" w:rsidRPr="004E2E14">
        <w:rPr>
          <w:rStyle w:val="Refdenotaalpie"/>
          <w:rFonts w:ascii="Times New Roman" w:hAnsi="Times New Roman" w:cs="Times New Roman"/>
          <w:sz w:val="24"/>
          <w:szCs w:val="24"/>
        </w:rPr>
        <w:footnoteReference w:id="63"/>
      </w:r>
      <w:r w:rsidR="00ED4FE1" w:rsidRPr="004E2E14">
        <w:rPr>
          <w:rFonts w:ascii="Times New Roman" w:hAnsi="Times New Roman" w:cs="Times New Roman"/>
          <w:sz w:val="24"/>
          <w:szCs w:val="24"/>
        </w:rPr>
        <w:t>.</w:t>
      </w:r>
      <w:r w:rsidR="00BF2779" w:rsidRPr="004E2E14">
        <w:rPr>
          <w:rFonts w:ascii="Times New Roman" w:hAnsi="Times New Roman" w:cs="Times New Roman"/>
          <w:sz w:val="24"/>
          <w:szCs w:val="24"/>
        </w:rPr>
        <w:t xml:space="preserve"> </w:t>
      </w:r>
      <w:r w:rsidR="0073546A" w:rsidRPr="004E2E14">
        <w:rPr>
          <w:rFonts w:ascii="Times New Roman" w:hAnsi="Times New Roman" w:cs="Times New Roman"/>
          <w:sz w:val="24"/>
          <w:szCs w:val="24"/>
        </w:rPr>
        <w:t>Both these countries had strong judicial systems that were considered models for other emerging democracies,</w:t>
      </w:r>
      <w:r w:rsidR="00851CA1" w:rsidRPr="004E2E14">
        <w:rPr>
          <w:rFonts w:ascii="Times New Roman" w:hAnsi="Times New Roman" w:cs="Times New Roman"/>
          <w:sz w:val="24"/>
          <w:szCs w:val="24"/>
        </w:rPr>
        <w:t xml:space="preserve"> until the election of </w:t>
      </w:r>
      <w:r w:rsidR="00F00CE0" w:rsidRPr="004E2E14">
        <w:rPr>
          <w:rFonts w:ascii="Times New Roman" w:hAnsi="Times New Roman" w:cs="Times New Roman"/>
          <w:sz w:val="24"/>
          <w:szCs w:val="24"/>
        </w:rPr>
        <w:t>hard-right</w:t>
      </w:r>
      <w:r w:rsidR="00851CA1" w:rsidRPr="004E2E14">
        <w:rPr>
          <w:rFonts w:ascii="Times New Roman" w:hAnsi="Times New Roman" w:cs="Times New Roman"/>
          <w:sz w:val="24"/>
          <w:szCs w:val="24"/>
        </w:rPr>
        <w:t xml:space="preserve"> populist </w:t>
      </w:r>
      <w:r w:rsidR="00F00CE0" w:rsidRPr="004E2E14">
        <w:rPr>
          <w:rFonts w:ascii="Times New Roman" w:hAnsi="Times New Roman" w:cs="Times New Roman"/>
          <w:sz w:val="24"/>
          <w:szCs w:val="24"/>
        </w:rPr>
        <w:t xml:space="preserve">and nationalist </w:t>
      </w:r>
      <w:r w:rsidR="00851CA1" w:rsidRPr="004E2E14">
        <w:rPr>
          <w:rFonts w:ascii="Times New Roman" w:hAnsi="Times New Roman" w:cs="Times New Roman"/>
          <w:sz w:val="24"/>
          <w:szCs w:val="24"/>
        </w:rPr>
        <w:t>governments,</w:t>
      </w:r>
      <w:r w:rsidR="0073546A" w:rsidRPr="004E2E14">
        <w:rPr>
          <w:rFonts w:ascii="Times New Roman" w:hAnsi="Times New Roman" w:cs="Times New Roman"/>
          <w:sz w:val="24"/>
          <w:szCs w:val="24"/>
        </w:rPr>
        <w:t xml:space="preserve"> and both experienced rapi</w:t>
      </w:r>
      <w:r w:rsidR="005629B3" w:rsidRPr="004E2E14">
        <w:rPr>
          <w:rFonts w:ascii="Times New Roman" w:hAnsi="Times New Roman" w:cs="Times New Roman"/>
          <w:sz w:val="24"/>
          <w:szCs w:val="24"/>
        </w:rPr>
        <w:t>d</w:t>
      </w:r>
      <w:r w:rsidR="0073546A" w:rsidRPr="004E2E14">
        <w:rPr>
          <w:rFonts w:ascii="Times New Roman" w:hAnsi="Times New Roman" w:cs="Times New Roman"/>
          <w:sz w:val="24"/>
          <w:szCs w:val="24"/>
        </w:rPr>
        <w:t xml:space="preserve"> </w:t>
      </w:r>
      <w:r w:rsidR="00516B3C" w:rsidRPr="004E2E14">
        <w:rPr>
          <w:rFonts w:ascii="Times New Roman" w:hAnsi="Times New Roman" w:cs="Times New Roman"/>
          <w:sz w:val="24"/>
          <w:szCs w:val="24"/>
        </w:rPr>
        <w:t xml:space="preserve">judicial independence </w:t>
      </w:r>
      <w:r w:rsidR="0073546A" w:rsidRPr="004E2E14">
        <w:rPr>
          <w:rFonts w:ascii="Times New Roman" w:hAnsi="Times New Roman" w:cs="Times New Roman"/>
          <w:sz w:val="24"/>
          <w:szCs w:val="24"/>
        </w:rPr>
        <w:t xml:space="preserve">backsliding </w:t>
      </w:r>
      <w:r w:rsidR="00851CA1" w:rsidRPr="004E2E14">
        <w:rPr>
          <w:rFonts w:ascii="Times New Roman" w:hAnsi="Times New Roman" w:cs="Times New Roman"/>
          <w:sz w:val="24"/>
          <w:szCs w:val="24"/>
        </w:rPr>
        <w:t>in the last decade</w:t>
      </w:r>
      <w:r w:rsidR="0073546A" w:rsidRPr="004E2E14">
        <w:rPr>
          <w:rFonts w:ascii="Times New Roman" w:hAnsi="Times New Roman" w:cs="Times New Roman"/>
          <w:sz w:val="24"/>
          <w:szCs w:val="24"/>
        </w:rPr>
        <w:t>.</w:t>
      </w:r>
      <w:r w:rsidR="005629B3" w:rsidRPr="004E2E14">
        <w:rPr>
          <w:rStyle w:val="Refdenotaalpie"/>
          <w:rFonts w:ascii="Times New Roman" w:hAnsi="Times New Roman" w:cs="Times New Roman"/>
          <w:sz w:val="24"/>
          <w:szCs w:val="24"/>
        </w:rPr>
        <w:footnoteReference w:id="64"/>
      </w:r>
      <w:r w:rsidR="00BA5006" w:rsidRPr="004E2E14">
        <w:rPr>
          <w:rFonts w:ascii="Times New Roman" w:hAnsi="Times New Roman" w:cs="Times New Roman"/>
          <w:sz w:val="24"/>
          <w:szCs w:val="24"/>
        </w:rPr>
        <w:t xml:space="preserve"> The methods were different. In Poland, as the ruling party</w:t>
      </w:r>
      <w:r w:rsidR="00516B3C" w:rsidRPr="004E2E14">
        <w:rPr>
          <w:rFonts w:ascii="Times New Roman" w:hAnsi="Times New Roman" w:cs="Times New Roman"/>
          <w:sz w:val="24"/>
          <w:szCs w:val="24"/>
        </w:rPr>
        <w:t>,</w:t>
      </w:r>
      <w:r w:rsidR="00BA5006" w:rsidRPr="004E2E14">
        <w:rPr>
          <w:rFonts w:ascii="Times New Roman" w:hAnsi="Times New Roman" w:cs="Times New Roman"/>
          <w:sz w:val="24"/>
          <w:szCs w:val="24"/>
        </w:rPr>
        <w:t xml:space="preserve"> PiS (Law and Justice)</w:t>
      </w:r>
      <w:r w:rsidR="00301325" w:rsidRPr="004E2E14">
        <w:rPr>
          <w:rFonts w:ascii="Times New Roman" w:hAnsi="Times New Roman" w:cs="Times New Roman"/>
          <w:sz w:val="24"/>
          <w:szCs w:val="24"/>
        </w:rPr>
        <w:t>, in power since 2015</w:t>
      </w:r>
      <w:r w:rsidR="00BA5006" w:rsidRPr="004E2E14">
        <w:rPr>
          <w:rFonts w:ascii="Times New Roman" w:hAnsi="Times New Roman" w:cs="Times New Roman"/>
          <w:sz w:val="24"/>
          <w:szCs w:val="24"/>
        </w:rPr>
        <w:t xml:space="preserve">, </w:t>
      </w:r>
      <w:r w:rsidR="009E45F1" w:rsidRPr="004E2E14">
        <w:rPr>
          <w:rFonts w:ascii="Times New Roman" w:hAnsi="Times New Roman" w:cs="Times New Roman"/>
          <w:sz w:val="24"/>
          <w:szCs w:val="24"/>
        </w:rPr>
        <w:t>did not</w:t>
      </w:r>
      <w:r w:rsidR="00BA5006" w:rsidRPr="004E2E14">
        <w:rPr>
          <w:rFonts w:ascii="Times New Roman" w:hAnsi="Times New Roman" w:cs="Times New Roman"/>
          <w:sz w:val="24"/>
          <w:szCs w:val="24"/>
        </w:rPr>
        <w:t xml:space="preserve"> have enough majority to make amendments to the Constitution, it has chosen a different path: statutory changes, </w:t>
      </w:r>
      <w:r w:rsidR="00516B3C" w:rsidRPr="004E2E14">
        <w:rPr>
          <w:rFonts w:ascii="Times New Roman" w:hAnsi="Times New Roman" w:cs="Times New Roman"/>
          <w:sz w:val="24"/>
          <w:szCs w:val="24"/>
        </w:rPr>
        <w:t>court packing</w:t>
      </w:r>
      <w:r w:rsidR="00412EE4">
        <w:rPr>
          <w:rFonts w:ascii="Times New Roman" w:hAnsi="Times New Roman" w:cs="Times New Roman"/>
          <w:sz w:val="24"/>
          <w:szCs w:val="24"/>
        </w:rPr>
        <w:t>,</w:t>
      </w:r>
      <w:r w:rsidR="00516B3C" w:rsidRPr="004E2E14">
        <w:rPr>
          <w:rFonts w:ascii="Times New Roman" w:hAnsi="Times New Roman" w:cs="Times New Roman"/>
          <w:sz w:val="24"/>
          <w:szCs w:val="24"/>
        </w:rPr>
        <w:t xml:space="preserve"> and refusal to comply with </w:t>
      </w:r>
      <w:r w:rsidR="00A94656">
        <w:rPr>
          <w:rFonts w:ascii="Times New Roman" w:hAnsi="Times New Roman" w:cs="Times New Roman"/>
          <w:sz w:val="24"/>
          <w:szCs w:val="24"/>
        </w:rPr>
        <w:t>court</w:t>
      </w:r>
      <w:r w:rsidR="00516B3C" w:rsidRPr="004E2E14">
        <w:rPr>
          <w:rFonts w:ascii="Times New Roman" w:hAnsi="Times New Roman" w:cs="Times New Roman"/>
          <w:sz w:val="24"/>
          <w:szCs w:val="24"/>
        </w:rPr>
        <w:t xml:space="preserve"> orders. Unlikely, Hungary, </w:t>
      </w:r>
      <w:r w:rsidR="00412EE4">
        <w:rPr>
          <w:rFonts w:ascii="Times New Roman" w:hAnsi="Times New Roman" w:cs="Times New Roman"/>
          <w:sz w:val="24"/>
          <w:szCs w:val="24"/>
        </w:rPr>
        <w:t>where</w:t>
      </w:r>
      <w:r w:rsidR="00516B3C" w:rsidRPr="004E2E14">
        <w:rPr>
          <w:rFonts w:ascii="Times New Roman" w:hAnsi="Times New Roman" w:cs="Times New Roman"/>
          <w:sz w:val="24"/>
          <w:szCs w:val="24"/>
        </w:rPr>
        <w:t xml:space="preserve"> the ruling party</w:t>
      </w:r>
      <w:r w:rsidR="00301325" w:rsidRPr="004E2E14">
        <w:rPr>
          <w:rFonts w:ascii="Times New Roman" w:hAnsi="Times New Roman" w:cs="Times New Roman"/>
          <w:sz w:val="24"/>
          <w:szCs w:val="24"/>
        </w:rPr>
        <w:t xml:space="preserve"> since 2010</w:t>
      </w:r>
      <w:r w:rsidR="00516B3C" w:rsidRPr="004E2E14">
        <w:rPr>
          <w:rFonts w:ascii="Times New Roman" w:hAnsi="Times New Roman" w:cs="Times New Roman"/>
          <w:sz w:val="24"/>
          <w:szCs w:val="24"/>
        </w:rPr>
        <w:t>, Fidesz, controlled over two-thirds of the seats in Parliament, a new Constitution was adopted.</w:t>
      </w:r>
      <w:r w:rsidR="001D124D" w:rsidRPr="004E2E14">
        <w:rPr>
          <w:rFonts w:ascii="Times New Roman" w:hAnsi="Times New Roman" w:cs="Times New Roman"/>
          <w:sz w:val="24"/>
          <w:szCs w:val="24"/>
        </w:rPr>
        <w:t xml:space="preserve"> </w:t>
      </w:r>
    </w:p>
    <w:p w14:paraId="18721E17" w14:textId="6BA2E820" w:rsidR="00A2308C" w:rsidRDefault="004C55DC"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At that point, we follow BÁRD when she warns that non-democracies hide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infringements behind abusive constitutionalism, to create authoritarian or semi-authoritarian regimes, pointing out the passivity at the EU level. </w:t>
      </w:r>
      <w:r w:rsidR="003A5CB4">
        <w:rPr>
          <w:rFonts w:ascii="Times New Roman" w:hAnsi="Times New Roman" w:cs="Times New Roman"/>
          <w:sz w:val="24"/>
          <w:szCs w:val="24"/>
        </w:rPr>
        <w:t>T</w:t>
      </w:r>
      <w:r w:rsidRPr="004E2E14">
        <w:rPr>
          <w:rFonts w:ascii="Times New Roman" w:hAnsi="Times New Roman" w:cs="Times New Roman"/>
          <w:sz w:val="24"/>
          <w:szCs w:val="24"/>
        </w:rPr>
        <w:t xml:space="preserve">he author adds that the </w:t>
      </w:r>
      <w:r w:rsidRPr="004E2E14">
        <w:rPr>
          <w:rFonts w:ascii="Times New Roman" w:hAnsi="Times New Roman" w:cs="Times New Roman"/>
          <w:sz w:val="24"/>
          <w:szCs w:val="24"/>
        </w:rPr>
        <w:lastRenderedPageBreak/>
        <w:t xml:space="preserve">mechanism of constitutional </w:t>
      </w:r>
      <w:r w:rsidR="003A5CB4" w:rsidRPr="004E2E14">
        <w:rPr>
          <w:rFonts w:ascii="Times New Roman" w:hAnsi="Times New Roman" w:cs="Times New Roman"/>
          <w:sz w:val="24"/>
          <w:szCs w:val="24"/>
        </w:rPr>
        <w:t>change</w:t>
      </w:r>
      <w:r w:rsidR="003A5CB4">
        <w:rPr>
          <w:rFonts w:ascii="Times New Roman" w:hAnsi="Times New Roman" w:cs="Times New Roman"/>
          <w:sz w:val="24"/>
          <w:szCs w:val="24"/>
        </w:rPr>
        <w:t>,</w:t>
      </w:r>
      <w:r w:rsidR="003A5CB4" w:rsidRPr="004E2E14">
        <w:rPr>
          <w:rFonts w:ascii="Times New Roman" w:hAnsi="Times New Roman" w:cs="Times New Roman"/>
          <w:sz w:val="24"/>
          <w:szCs w:val="24"/>
        </w:rPr>
        <w:t xml:space="preserve"> </w:t>
      </w:r>
      <w:r w:rsidR="003A5CB4">
        <w:rPr>
          <w:rFonts w:ascii="Times New Roman" w:hAnsi="Times New Roman" w:cs="Times New Roman"/>
          <w:sz w:val="24"/>
          <w:szCs w:val="24"/>
        </w:rPr>
        <w:t>«</w:t>
      </w:r>
      <w:r w:rsidRPr="004E2E14">
        <w:rPr>
          <w:rFonts w:ascii="Times New Roman" w:hAnsi="Times New Roman" w:cs="Times New Roman"/>
          <w:sz w:val="24"/>
          <w:szCs w:val="24"/>
        </w:rPr>
        <w:t xml:space="preserve">and other legal changes are introduced to serve the particularistic interests of the ruling majority and authorize arbitrary decisions with the effect of turning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into Rule by Law. Instead of limiting government, these constitutional and legislative changes are there to entrench governmental powers and to silence and shrink the space for criticism and civil participation».</w:t>
      </w:r>
      <w:r w:rsidRPr="004E2E14">
        <w:rPr>
          <w:rStyle w:val="Refdenotaalpie"/>
          <w:rFonts w:ascii="Times New Roman" w:hAnsi="Times New Roman" w:cs="Times New Roman"/>
          <w:sz w:val="24"/>
          <w:szCs w:val="24"/>
        </w:rPr>
        <w:footnoteReference w:id="65"/>
      </w:r>
    </w:p>
    <w:p w14:paraId="5193D233" w14:textId="77777777" w:rsidR="00B80F60" w:rsidRPr="00550E51" w:rsidRDefault="00B80F60" w:rsidP="001D12B5">
      <w:pPr>
        <w:spacing w:after="0" w:line="240" w:lineRule="auto"/>
        <w:jc w:val="both"/>
        <w:rPr>
          <w:rFonts w:ascii="Times New Roman" w:hAnsi="Times New Roman" w:cs="Times New Roman"/>
          <w:sz w:val="24"/>
          <w:szCs w:val="24"/>
        </w:rPr>
      </w:pPr>
    </w:p>
    <w:p w14:paraId="7D173FA5" w14:textId="61C9F6C4" w:rsidR="00A2308C" w:rsidRPr="00425FC8" w:rsidRDefault="00A2308C" w:rsidP="001D12B5">
      <w:pPr>
        <w:pStyle w:val="Prrafodelista"/>
        <w:numPr>
          <w:ilvl w:val="2"/>
          <w:numId w:val="22"/>
        </w:numPr>
        <w:spacing w:after="0" w:line="240" w:lineRule="auto"/>
        <w:ind w:left="0" w:firstLine="0"/>
        <w:jc w:val="both"/>
        <w:rPr>
          <w:rFonts w:ascii="Times New Roman" w:hAnsi="Times New Roman" w:cs="Times New Roman"/>
          <w:i/>
          <w:iCs/>
          <w:sz w:val="24"/>
          <w:szCs w:val="24"/>
        </w:rPr>
      </w:pPr>
      <w:r w:rsidRPr="00425FC8">
        <w:rPr>
          <w:rFonts w:ascii="Times New Roman" w:hAnsi="Times New Roman" w:cs="Times New Roman"/>
          <w:i/>
          <w:iCs/>
          <w:sz w:val="24"/>
          <w:szCs w:val="24"/>
        </w:rPr>
        <w:t>Poland</w:t>
      </w:r>
    </w:p>
    <w:p w14:paraId="54D75D11" w14:textId="673F1DED" w:rsidR="00C81104" w:rsidRPr="004E2E14" w:rsidRDefault="00A2308C"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Poland</w:t>
      </w:r>
      <w:r w:rsidR="0037051A" w:rsidRPr="004E2E14">
        <w:rPr>
          <w:rFonts w:ascii="Times New Roman" w:hAnsi="Times New Roman" w:cs="Times New Roman"/>
          <w:sz w:val="24"/>
          <w:szCs w:val="24"/>
        </w:rPr>
        <w:t xml:space="preserve"> is an example of a country where </w:t>
      </w:r>
      <w:r w:rsidR="003A5CB4">
        <w:rPr>
          <w:rFonts w:ascii="Times New Roman" w:hAnsi="Times New Roman" w:cs="Times New Roman"/>
          <w:sz w:val="24"/>
          <w:szCs w:val="24"/>
        </w:rPr>
        <w:t>judicial independence is lacking</w:t>
      </w:r>
      <w:r w:rsidR="0037051A" w:rsidRPr="004E2E14">
        <w:rPr>
          <w:rFonts w:ascii="Times New Roman" w:hAnsi="Times New Roman" w:cs="Times New Roman"/>
          <w:sz w:val="24"/>
          <w:szCs w:val="24"/>
        </w:rPr>
        <w:t xml:space="preserve">. </w:t>
      </w:r>
    </w:p>
    <w:p w14:paraId="41035CA5" w14:textId="19E12C51" w:rsidR="003913E8" w:rsidRPr="004E2E14" w:rsidRDefault="0000382D"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In</w:t>
      </w:r>
      <w:r w:rsidR="009877D9" w:rsidRPr="004E2E14">
        <w:rPr>
          <w:rFonts w:ascii="Times New Roman" w:hAnsi="Times New Roman" w:cs="Times New Roman"/>
          <w:sz w:val="24"/>
          <w:szCs w:val="24"/>
        </w:rPr>
        <w:t xml:space="preserve"> June 2015, </w:t>
      </w:r>
      <w:r w:rsidR="00273E0A" w:rsidRPr="004E2E14">
        <w:rPr>
          <w:rFonts w:ascii="Times New Roman" w:hAnsi="Times New Roman" w:cs="Times New Roman"/>
          <w:sz w:val="24"/>
          <w:szCs w:val="24"/>
        </w:rPr>
        <w:t xml:space="preserve">as the ruling majority </w:t>
      </w:r>
      <w:r w:rsidR="000844EA" w:rsidRPr="004E2E14">
        <w:rPr>
          <w:rFonts w:ascii="Times New Roman" w:hAnsi="Times New Roman" w:cs="Times New Roman"/>
          <w:sz w:val="24"/>
          <w:szCs w:val="24"/>
        </w:rPr>
        <w:t xml:space="preserve">(PiS government) </w:t>
      </w:r>
      <w:r w:rsidR="00273E0A" w:rsidRPr="004E2E14">
        <w:rPr>
          <w:rFonts w:ascii="Times New Roman" w:hAnsi="Times New Roman" w:cs="Times New Roman"/>
          <w:sz w:val="24"/>
          <w:szCs w:val="24"/>
        </w:rPr>
        <w:t xml:space="preserve">did not have a constitutional majority, </w:t>
      </w:r>
      <w:r w:rsidR="009877D9" w:rsidRPr="004E2E14">
        <w:rPr>
          <w:rFonts w:ascii="Times New Roman" w:hAnsi="Times New Roman" w:cs="Times New Roman"/>
          <w:sz w:val="24"/>
          <w:szCs w:val="24"/>
        </w:rPr>
        <w:t xml:space="preserve">the Civic Platform government </w:t>
      </w:r>
      <w:r w:rsidR="00866BB1" w:rsidRPr="004E2E14">
        <w:rPr>
          <w:rFonts w:ascii="Times New Roman" w:hAnsi="Times New Roman" w:cs="Times New Roman"/>
          <w:sz w:val="24"/>
          <w:szCs w:val="24"/>
        </w:rPr>
        <w:t>initiated a series of changes in the judicial system</w:t>
      </w:r>
      <w:r w:rsidR="00412EE4">
        <w:rPr>
          <w:rFonts w:ascii="Times New Roman" w:hAnsi="Times New Roman" w:cs="Times New Roman"/>
          <w:sz w:val="24"/>
          <w:szCs w:val="24"/>
        </w:rPr>
        <w:t>,</w:t>
      </w:r>
      <w:r w:rsidR="00866BB1" w:rsidRPr="004E2E14">
        <w:rPr>
          <w:rFonts w:ascii="Times New Roman" w:hAnsi="Times New Roman" w:cs="Times New Roman"/>
          <w:sz w:val="24"/>
          <w:szCs w:val="24"/>
        </w:rPr>
        <w:t xml:space="preserve"> allegedly to eliminate corruption, impunity</w:t>
      </w:r>
      <w:r w:rsidR="00412EE4">
        <w:rPr>
          <w:rFonts w:ascii="Times New Roman" w:hAnsi="Times New Roman" w:cs="Times New Roman"/>
          <w:sz w:val="24"/>
          <w:szCs w:val="24"/>
        </w:rPr>
        <w:t>,</w:t>
      </w:r>
      <w:r w:rsidR="00866BB1" w:rsidRPr="004E2E14">
        <w:rPr>
          <w:rFonts w:ascii="Times New Roman" w:hAnsi="Times New Roman" w:cs="Times New Roman"/>
          <w:sz w:val="24"/>
          <w:szCs w:val="24"/>
        </w:rPr>
        <w:t xml:space="preserve"> and delays in justice.</w:t>
      </w:r>
      <w:r w:rsidR="00A44E58" w:rsidRPr="004E2E14">
        <w:rPr>
          <w:rStyle w:val="Refdenotaalpie"/>
          <w:rFonts w:ascii="Times New Roman" w:hAnsi="Times New Roman" w:cs="Times New Roman"/>
          <w:sz w:val="24"/>
          <w:szCs w:val="24"/>
        </w:rPr>
        <w:footnoteReference w:id="66"/>
      </w:r>
      <w:r w:rsidR="00C7686A" w:rsidRPr="004E2E14">
        <w:rPr>
          <w:rFonts w:ascii="Times New Roman" w:hAnsi="Times New Roman" w:cs="Times New Roman"/>
          <w:sz w:val="24"/>
          <w:szCs w:val="24"/>
        </w:rPr>
        <w:t xml:space="preserve"> </w:t>
      </w:r>
      <w:r w:rsidR="00173EA7" w:rsidRPr="004E2E14">
        <w:rPr>
          <w:rFonts w:ascii="Times New Roman" w:hAnsi="Times New Roman" w:cs="Times New Roman"/>
          <w:sz w:val="24"/>
          <w:szCs w:val="24"/>
        </w:rPr>
        <w:t xml:space="preserve">The Constitutional Tribunal was targeted first to ensure that subsequent changes could be enacted with less scrutiny. </w:t>
      </w:r>
      <w:r w:rsidR="00C7686A" w:rsidRPr="004E2E14">
        <w:rPr>
          <w:rFonts w:ascii="Times New Roman" w:hAnsi="Times New Roman" w:cs="Times New Roman"/>
          <w:sz w:val="24"/>
          <w:szCs w:val="24"/>
        </w:rPr>
        <w:t xml:space="preserve">It began with the amendment of </w:t>
      </w:r>
      <w:r w:rsidR="009877D9" w:rsidRPr="004E2E14">
        <w:rPr>
          <w:rFonts w:ascii="Times New Roman" w:hAnsi="Times New Roman" w:cs="Times New Roman"/>
          <w:sz w:val="24"/>
          <w:szCs w:val="24"/>
        </w:rPr>
        <w:t>the law</w:t>
      </w:r>
      <w:r w:rsidR="00C13AB8" w:rsidRPr="004E2E14">
        <w:rPr>
          <w:rFonts w:ascii="Times New Roman" w:hAnsi="Times New Roman" w:cs="Times New Roman"/>
          <w:sz w:val="24"/>
          <w:szCs w:val="24"/>
        </w:rPr>
        <w:t xml:space="preserve"> </w:t>
      </w:r>
      <w:r w:rsidR="00412EE4">
        <w:rPr>
          <w:rFonts w:ascii="Times New Roman" w:hAnsi="Times New Roman" w:cs="Times New Roman"/>
          <w:sz w:val="24"/>
          <w:szCs w:val="24"/>
        </w:rPr>
        <w:t>that</w:t>
      </w:r>
      <w:r w:rsidR="00C7686A" w:rsidRPr="004E2E14">
        <w:rPr>
          <w:rFonts w:ascii="Times New Roman" w:hAnsi="Times New Roman" w:cs="Times New Roman"/>
          <w:sz w:val="24"/>
          <w:szCs w:val="24"/>
        </w:rPr>
        <w:t xml:space="preserve"> rules the election of the judges of</w:t>
      </w:r>
      <w:r w:rsidR="009877D9" w:rsidRPr="004E2E14">
        <w:rPr>
          <w:rFonts w:ascii="Times New Roman" w:hAnsi="Times New Roman" w:cs="Times New Roman"/>
          <w:sz w:val="24"/>
          <w:szCs w:val="24"/>
        </w:rPr>
        <w:t xml:space="preserve"> the Constitutional Tribunal. The new rule stated that the Parliament</w:t>
      </w:r>
      <w:r w:rsidR="00C13AB8" w:rsidRPr="004E2E14">
        <w:rPr>
          <w:rFonts w:ascii="Times New Roman" w:hAnsi="Times New Roman" w:cs="Times New Roman"/>
          <w:sz w:val="24"/>
          <w:szCs w:val="24"/>
        </w:rPr>
        <w:t xml:space="preserve"> could elect judges months ahead of an actual opening on the court</w:t>
      </w:r>
      <w:r w:rsidR="00412EE4">
        <w:rPr>
          <w:rFonts w:ascii="Times New Roman" w:hAnsi="Times New Roman" w:cs="Times New Roman"/>
          <w:sz w:val="24"/>
          <w:szCs w:val="24"/>
        </w:rPr>
        <w:t>,</w:t>
      </w:r>
      <w:r w:rsidR="00273E0A" w:rsidRPr="004E2E14">
        <w:rPr>
          <w:rFonts w:ascii="Times New Roman" w:hAnsi="Times New Roman" w:cs="Times New Roman"/>
          <w:sz w:val="24"/>
          <w:szCs w:val="24"/>
        </w:rPr>
        <w:t xml:space="preserve"> and </w:t>
      </w:r>
      <w:r w:rsidR="00CC725D" w:rsidRPr="004E2E14">
        <w:rPr>
          <w:rFonts w:ascii="Times New Roman" w:hAnsi="Times New Roman" w:cs="Times New Roman"/>
          <w:sz w:val="24"/>
          <w:szCs w:val="24"/>
        </w:rPr>
        <w:t>it</w:t>
      </w:r>
      <w:r w:rsidR="00273E0A" w:rsidRPr="004E2E14">
        <w:rPr>
          <w:rFonts w:ascii="Times New Roman" w:hAnsi="Times New Roman" w:cs="Times New Roman"/>
          <w:sz w:val="24"/>
          <w:szCs w:val="24"/>
        </w:rPr>
        <w:t xml:space="preserve"> </w:t>
      </w:r>
      <w:r w:rsidR="0028589F" w:rsidRPr="004E2E14">
        <w:rPr>
          <w:rFonts w:ascii="Times New Roman" w:hAnsi="Times New Roman" w:cs="Times New Roman"/>
          <w:sz w:val="24"/>
          <w:szCs w:val="24"/>
        </w:rPr>
        <w:t>did</w:t>
      </w:r>
      <w:r w:rsidR="00273E0A" w:rsidRPr="004E2E14">
        <w:rPr>
          <w:rFonts w:ascii="Times New Roman" w:hAnsi="Times New Roman" w:cs="Times New Roman"/>
          <w:sz w:val="24"/>
          <w:szCs w:val="24"/>
        </w:rPr>
        <w:t xml:space="preserve"> it before the </w:t>
      </w:r>
      <w:r w:rsidR="00A94656">
        <w:rPr>
          <w:rFonts w:ascii="Times New Roman" w:hAnsi="Times New Roman" w:cs="Times New Roman"/>
          <w:sz w:val="24"/>
          <w:szCs w:val="24"/>
        </w:rPr>
        <w:t>other</w:t>
      </w:r>
      <w:r w:rsidR="00273E0A" w:rsidRPr="004E2E14">
        <w:rPr>
          <w:rFonts w:ascii="Times New Roman" w:hAnsi="Times New Roman" w:cs="Times New Roman"/>
          <w:sz w:val="24"/>
          <w:szCs w:val="24"/>
        </w:rPr>
        <w:t xml:space="preserve"> </w:t>
      </w:r>
      <w:r w:rsidR="00EC6194" w:rsidRPr="004E2E14">
        <w:rPr>
          <w:rFonts w:ascii="Times New Roman" w:hAnsi="Times New Roman" w:cs="Times New Roman"/>
          <w:sz w:val="24"/>
          <w:szCs w:val="24"/>
        </w:rPr>
        <w:t>judges’</w:t>
      </w:r>
      <w:r w:rsidR="00273E0A" w:rsidRPr="004E2E14">
        <w:rPr>
          <w:rFonts w:ascii="Times New Roman" w:hAnsi="Times New Roman" w:cs="Times New Roman"/>
          <w:sz w:val="24"/>
          <w:szCs w:val="24"/>
        </w:rPr>
        <w:t xml:space="preserve"> </w:t>
      </w:r>
      <w:r w:rsidR="00412EE4">
        <w:rPr>
          <w:rFonts w:ascii="Times New Roman" w:hAnsi="Times New Roman" w:cs="Times New Roman"/>
          <w:sz w:val="24"/>
          <w:szCs w:val="24"/>
        </w:rPr>
        <w:t>term</w:t>
      </w:r>
      <w:r w:rsidR="00827248" w:rsidRPr="004E2E14">
        <w:rPr>
          <w:rFonts w:ascii="Times New Roman" w:hAnsi="Times New Roman" w:cs="Times New Roman"/>
          <w:sz w:val="24"/>
          <w:szCs w:val="24"/>
        </w:rPr>
        <w:t>.</w:t>
      </w:r>
      <w:r w:rsidR="0059714F" w:rsidRPr="004E2E14">
        <w:rPr>
          <w:rStyle w:val="Refdenotaalpie"/>
          <w:rFonts w:ascii="Times New Roman" w:hAnsi="Times New Roman" w:cs="Times New Roman"/>
          <w:sz w:val="24"/>
          <w:szCs w:val="24"/>
        </w:rPr>
        <w:footnoteReference w:id="67"/>
      </w:r>
      <w:r w:rsidR="009877D9" w:rsidRPr="004E2E14">
        <w:rPr>
          <w:rFonts w:ascii="Times New Roman" w:hAnsi="Times New Roman" w:cs="Times New Roman"/>
          <w:sz w:val="24"/>
          <w:szCs w:val="24"/>
        </w:rPr>
        <w:t xml:space="preserve"> </w:t>
      </w:r>
    </w:p>
    <w:p w14:paraId="6D31136D" w14:textId="5D9C3BA5" w:rsidR="00EF0428" w:rsidRPr="004E2E14" w:rsidRDefault="00EC6194"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 xml:space="preserve">The next step was the politicization of the National Council </w:t>
      </w:r>
      <w:r w:rsidR="00EF0428" w:rsidRPr="004E2E14">
        <w:rPr>
          <w:rFonts w:ascii="Times New Roman" w:hAnsi="Times New Roman" w:cs="Times New Roman"/>
          <w:sz w:val="24"/>
          <w:szCs w:val="24"/>
        </w:rPr>
        <w:t>for</w:t>
      </w:r>
      <w:r w:rsidRPr="004E2E14">
        <w:rPr>
          <w:rFonts w:ascii="Times New Roman" w:hAnsi="Times New Roman" w:cs="Times New Roman"/>
          <w:sz w:val="24"/>
          <w:szCs w:val="24"/>
        </w:rPr>
        <w:t xml:space="preserve"> the Judiciary</w:t>
      </w:r>
      <w:r w:rsidR="008E71BC" w:rsidRPr="004E2E14">
        <w:rPr>
          <w:rStyle w:val="Refdenotaalpie"/>
          <w:rFonts w:ascii="Times New Roman" w:hAnsi="Times New Roman" w:cs="Times New Roman"/>
          <w:sz w:val="24"/>
          <w:szCs w:val="24"/>
        </w:rPr>
        <w:footnoteReference w:id="68"/>
      </w:r>
      <w:r w:rsidR="00C431A0" w:rsidRPr="004E2E14">
        <w:rPr>
          <w:rFonts w:ascii="Times New Roman" w:hAnsi="Times New Roman" w:cs="Times New Roman"/>
          <w:sz w:val="24"/>
          <w:szCs w:val="24"/>
        </w:rPr>
        <w:t xml:space="preserve"> and an attempt to take over the personnel and organization of the Supreme Court</w:t>
      </w:r>
      <w:r w:rsidR="003913E8" w:rsidRPr="004E2E14">
        <w:rPr>
          <w:rFonts w:ascii="Times New Roman" w:hAnsi="Times New Roman" w:cs="Times New Roman"/>
          <w:sz w:val="24"/>
          <w:szCs w:val="24"/>
        </w:rPr>
        <w:t xml:space="preserve">. </w:t>
      </w:r>
      <w:r w:rsidR="00B60F68" w:rsidRPr="004E2E14">
        <w:rPr>
          <w:rFonts w:ascii="Times New Roman" w:hAnsi="Times New Roman" w:cs="Times New Roman"/>
          <w:sz w:val="24"/>
          <w:szCs w:val="24"/>
        </w:rPr>
        <w:t>In</w:t>
      </w:r>
      <w:r w:rsidR="003913E8" w:rsidRPr="004E2E14">
        <w:rPr>
          <w:rFonts w:ascii="Times New Roman" w:hAnsi="Times New Roman" w:cs="Times New Roman"/>
          <w:sz w:val="24"/>
          <w:szCs w:val="24"/>
        </w:rPr>
        <w:t xml:space="preserve"> 2017</w:t>
      </w:r>
      <w:r w:rsidR="00B60F68" w:rsidRPr="004E2E14">
        <w:rPr>
          <w:rFonts w:ascii="Times New Roman" w:hAnsi="Times New Roman" w:cs="Times New Roman"/>
          <w:sz w:val="24"/>
          <w:szCs w:val="24"/>
        </w:rPr>
        <w:t>, a</w:t>
      </w:r>
      <w:r w:rsidR="003913E8" w:rsidRPr="004E2E14">
        <w:rPr>
          <w:rFonts w:ascii="Times New Roman" w:hAnsi="Times New Roman" w:cs="Times New Roman"/>
          <w:sz w:val="24"/>
          <w:szCs w:val="24"/>
        </w:rPr>
        <w:t xml:space="preserve"> law on the Supreme Court increased the number of seats and lowered the retirement age limit from seventy to sixty-five</w:t>
      </w:r>
      <w:r w:rsidR="00EF0428" w:rsidRPr="004E2E14">
        <w:rPr>
          <w:rFonts w:ascii="Times New Roman" w:hAnsi="Times New Roman" w:cs="Times New Roman"/>
          <w:sz w:val="24"/>
          <w:szCs w:val="24"/>
        </w:rPr>
        <w:t>,</w:t>
      </w:r>
      <w:r w:rsidR="003913E8" w:rsidRPr="004E2E14">
        <w:rPr>
          <w:rFonts w:ascii="Times New Roman" w:hAnsi="Times New Roman" w:cs="Times New Roman"/>
          <w:sz w:val="24"/>
          <w:szCs w:val="24"/>
        </w:rPr>
        <w:t xml:space="preserve"> which meant the end of service for almost forty percent of the judges. The same law created the Disciplinary Chamber (to deal with disciplinary cases of Supreme Court judges and appeals of the disciplinary cases of judges from ordinary courts) and the Extraordinary Control and Public Affairs Chamber that the </w:t>
      </w:r>
      <w:r w:rsidR="00EF0428" w:rsidRPr="004E2E14">
        <w:rPr>
          <w:rFonts w:ascii="Times New Roman" w:hAnsi="Times New Roman" w:cs="Times New Roman"/>
          <w:sz w:val="24"/>
          <w:szCs w:val="24"/>
        </w:rPr>
        <w:t>National Council for the Judiciary</w:t>
      </w:r>
      <w:r w:rsidR="003913E8" w:rsidRPr="004E2E14">
        <w:rPr>
          <w:rFonts w:ascii="Times New Roman" w:hAnsi="Times New Roman" w:cs="Times New Roman"/>
          <w:sz w:val="24"/>
          <w:szCs w:val="24"/>
        </w:rPr>
        <w:t xml:space="preserve"> filled after the alteration of its member composition.</w:t>
      </w:r>
      <w:r w:rsidRPr="004E2E14">
        <w:rPr>
          <w:rStyle w:val="Refdenotaalpie"/>
          <w:rFonts w:ascii="Times New Roman" w:hAnsi="Times New Roman" w:cs="Times New Roman"/>
          <w:sz w:val="24"/>
          <w:szCs w:val="24"/>
        </w:rPr>
        <w:footnoteReference w:id="69"/>
      </w:r>
    </w:p>
    <w:p w14:paraId="397B9FAD" w14:textId="0ED80D77" w:rsidR="003913E8" w:rsidRPr="004E2E14" w:rsidRDefault="003913E8"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 xml:space="preserve">In December 2019, amendments to the law on </w:t>
      </w:r>
      <w:r w:rsidR="00412EE4">
        <w:rPr>
          <w:rFonts w:ascii="Times New Roman" w:hAnsi="Times New Roman" w:cs="Times New Roman"/>
          <w:sz w:val="24"/>
          <w:szCs w:val="24"/>
        </w:rPr>
        <w:t xml:space="preserve">the </w:t>
      </w:r>
      <w:r w:rsidRPr="004E2E14">
        <w:rPr>
          <w:rFonts w:ascii="Times New Roman" w:hAnsi="Times New Roman" w:cs="Times New Roman"/>
          <w:sz w:val="24"/>
          <w:szCs w:val="24"/>
        </w:rPr>
        <w:t xml:space="preserve">Supreme Court and </w:t>
      </w:r>
      <w:r w:rsidR="00412EE4">
        <w:rPr>
          <w:rFonts w:ascii="Times New Roman" w:hAnsi="Times New Roman" w:cs="Times New Roman"/>
          <w:sz w:val="24"/>
          <w:szCs w:val="24"/>
        </w:rPr>
        <w:t xml:space="preserve">the </w:t>
      </w:r>
      <w:r w:rsidRPr="004E2E14">
        <w:rPr>
          <w:rFonts w:ascii="Times New Roman" w:hAnsi="Times New Roman" w:cs="Times New Roman"/>
          <w:sz w:val="24"/>
          <w:szCs w:val="24"/>
        </w:rPr>
        <w:t xml:space="preserve">law on ordinary courts were approved, allowing disciplinary proceedings against judges that might </w:t>
      </w:r>
      <w:r w:rsidR="00412EE4">
        <w:rPr>
          <w:rFonts w:ascii="Times New Roman" w:hAnsi="Times New Roman" w:cs="Times New Roman"/>
          <w:sz w:val="24"/>
          <w:szCs w:val="24"/>
        </w:rPr>
        <w:t>undermine</w:t>
      </w:r>
      <w:r w:rsidRPr="004E2E14">
        <w:rPr>
          <w:rFonts w:ascii="Times New Roman" w:hAnsi="Times New Roman" w:cs="Times New Roman"/>
          <w:sz w:val="24"/>
          <w:szCs w:val="24"/>
        </w:rPr>
        <w:t xml:space="preserve"> the principles of the functioning of the authorities of Poland and its constitutional organs.</w:t>
      </w:r>
      <w:r w:rsidRPr="004E2E14">
        <w:rPr>
          <w:rStyle w:val="Refdenotaalpie"/>
          <w:rFonts w:ascii="Times New Roman" w:hAnsi="Times New Roman" w:cs="Times New Roman"/>
          <w:sz w:val="24"/>
          <w:szCs w:val="24"/>
        </w:rPr>
        <w:footnoteReference w:id="70"/>
      </w:r>
    </w:p>
    <w:p w14:paraId="3B75DC80" w14:textId="34A7C707" w:rsidR="00C81104" w:rsidRPr="004E2E14" w:rsidRDefault="009F5871"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 xml:space="preserve">Ordinary courts have also </w:t>
      </w:r>
      <w:r w:rsidR="003A5CB4">
        <w:rPr>
          <w:rFonts w:ascii="Times New Roman" w:hAnsi="Times New Roman" w:cs="Times New Roman"/>
          <w:sz w:val="24"/>
          <w:szCs w:val="24"/>
        </w:rPr>
        <w:t>changed</w:t>
      </w:r>
      <w:r w:rsidRPr="004E2E14">
        <w:rPr>
          <w:rFonts w:ascii="Times New Roman" w:hAnsi="Times New Roman" w:cs="Times New Roman"/>
          <w:sz w:val="24"/>
          <w:szCs w:val="24"/>
        </w:rPr>
        <w:t xml:space="preserve">: the </w:t>
      </w:r>
      <w:r w:rsidR="00034C47" w:rsidRPr="004E2E14">
        <w:rPr>
          <w:rFonts w:ascii="Times New Roman" w:hAnsi="Times New Roman" w:cs="Times New Roman"/>
          <w:sz w:val="24"/>
          <w:szCs w:val="24"/>
        </w:rPr>
        <w:t>retirement age was lowered</w:t>
      </w:r>
      <w:r w:rsidR="00412EE4">
        <w:rPr>
          <w:rFonts w:ascii="Times New Roman" w:hAnsi="Times New Roman" w:cs="Times New Roman"/>
          <w:sz w:val="24"/>
          <w:szCs w:val="24"/>
        </w:rPr>
        <w:t>,</w:t>
      </w:r>
      <w:r w:rsidR="00034C47" w:rsidRPr="004E2E14">
        <w:rPr>
          <w:rFonts w:ascii="Times New Roman" w:hAnsi="Times New Roman" w:cs="Times New Roman"/>
          <w:sz w:val="24"/>
          <w:szCs w:val="24"/>
        </w:rPr>
        <w:t xml:space="preserve"> having the Justice Minister been given </w:t>
      </w:r>
      <w:r w:rsidR="00412EE4">
        <w:rPr>
          <w:rFonts w:ascii="Times New Roman" w:hAnsi="Times New Roman" w:cs="Times New Roman"/>
          <w:sz w:val="24"/>
          <w:szCs w:val="24"/>
        </w:rPr>
        <w:t xml:space="preserve">the </w:t>
      </w:r>
      <w:r w:rsidR="00034C47" w:rsidRPr="004E2E14">
        <w:rPr>
          <w:rFonts w:ascii="Times New Roman" w:hAnsi="Times New Roman" w:cs="Times New Roman"/>
          <w:sz w:val="24"/>
          <w:szCs w:val="24"/>
        </w:rPr>
        <w:t>power to extend a term.</w:t>
      </w:r>
      <w:r w:rsidR="00034C47" w:rsidRPr="004E2E14">
        <w:rPr>
          <w:rStyle w:val="Refdenotaalpie"/>
          <w:rFonts w:ascii="Times New Roman" w:hAnsi="Times New Roman" w:cs="Times New Roman"/>
          <w:sz w:val="24"/>
          <w:szCs w:val="24"/>
        </w:rPr>
        <w:footnoteReference w:id="71"/>
      </w:r>
      <w:r w:rsidR="00034C47" w:rsidRPr="004E2E14">
        <w:rPr>
          <w:rFonts w:ascii="Times New Roman" w:hAnsi="Times New Roman" w:cs="Times New Roman"/>
          <w:sz w:val="24"/>
          <w:szCs w:val="24"/>
        </w:rPr>
        <w:t xml:space="preserve"> </w:t>
      </w:r>
    </w:p>
    <w:p w14:paraId="2FE83072" w14:textId="42C5274A" w:rsidR="00BB1B83" w:rsidRPr="004E2E14" w:rsidRDefault="0083769E"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lastRenderedPageBreak/>
        <w:t xml:space="preserve">In 2016, the </w:t>
      </w:r>
      <w:r w:rsidR="00412EE4">
        <w:rPr>
          <w:rFonts w:ascii="Times New Roman" w:hAnsi="Times New Roman" w:cs="Times New Roman"/>
          <w:sz w:val="24"/>
          <w:szCs w:val="24"/>
        </w:rPr>
        <w:t>Polish</w:t>
      </w:r>
      <w:r w:rsidR="00BB1B83" w:rsidRPr="004E2E14">
        <w:rPr>
          <w:rFonts w:ascii="Times New Roman" w:hAnsi="Times New Roman" w:cs="Times New Roman"/>
          <w:sz w:val="24"/>
          <w:szCs w:val="24"/>
        </w:rPr>
        <w:t xml:space="preserve"> </w:t>
      </w:r>
      <w:r w:rsidR="00173EA7" w:rsidRPr="004E2E14">
        <w:rPr>
          <w:rFonts w:ascii="Times New Roman" w:hAnsi="Times New Roman" w:cs="Times New Roman"/>
          <w:sz w:val="24"/>
          <w:szCs w:val="24"/>
        </w:rPr>
        <w:t>J</w:t>
      </w:r>
      <w:r w:rsidRPr="004E2E14">
        <w:rPr>
          <w:rFonts w:ascii="Times New Roman" w:hAnsi="Times New Roman" w:cs="Times New Roman"/>
          <w:sz w:val="24"/>
          <w:szCs w:val="24"/>
        </w:rPr>
        <w:t xml:space="preserve">ustice </w:t>
      </w:r>
      <w:r w:rsidR="00CB0414" w:rsidRPr="004E2E14">
        <w:rPr>
          <w:rFonts w:ascii="Times New Roman" w:hAnsi="Times New Roman" w:cs="Times New Roman"/>
          <w:sz w:val="24"/>
          <w:szCs w:val="24"/>
        </w:rPr>
        <w:t>M</w:t>
      </w:r>
      <w:r w:rsidRPr="004E2E14">
        <w:rPr>
          <w:rFonts w:ascii="Times New Roman" w:hAnsi="Times New Roman" w:cs="Times New Roman"/>
          <w:sz w:val="24"/>
          <w:szCs w:val="24"/>
        </w:rPr>
        <w:t>inister was granted</w:t>
      </w:r>
      <w:r w:rsidR="00BE0793" w:rsidRPr="004E2E14">
        <w:rPr>
          <w:rFonts w:ascii="Times New Roman" w:hAnsi="Times New Roman" w:cs="Times New Roman"/>
          <w:sz w:val="24"/>
          <w:szCs w:val="24"/>
        </w:rPr>
        <w:t>, among others,</w:t>
      </w:r>
      <w:r w:rsidRPr="004E2E14">
        <w:rPr>
          <w:rFonts w:ascii="Times New Roman" w:hAnsi="Times New Roman" w:cs="Times New Roman"/>
          <w:sz w:val="24"/>
          <w:szCs w:val="24"/>
        </w:rPr>
        <w:t xml:space="preserve"> the power to assign new judges, to authori</w:t>
      </w:r>
      <w:r w:rsidR="00BE0793" w:rsidRPr="004E2E14">
        <w:rPr>
          <w:rFonts w:ascii="Times New Roman" w:hAnsi="Times New Roman" w:cs="Times New Roman"/>
          <w:sz w:val="24"/>
          <w:szCs w:val="24"/>
        </w:rPr>
        <w:t xml:space="preserve">ze transfers </w:t>
      </w:r>
      <w:r w:rsidR="00EF0428" w:rsidRPr="004E2E14">
        <w:rPr>
          <w:rFonts w:ascii="Times New Roman" w:hAnsi="Times New Roman" w:cs="Times New Roman"/>
          <w:sz w:val="24"/>
          <w:szCs w:val="24"/>
        </w:rPr>
        <w:t>and</w:t>
      </w:r>
      <w:r w:rsidR="00BE0793" w:rsidRPr="004E2E14">
        <w:rPr>
          <w:rFonts w:ascii="Times New Roman" w:hAnsi="Times New Roman" w:cs="Times New Roman"/>
          <w:sz w:val="24"/>
          <w:szCs w:val="24"/>
        </w:rPr>
        <w:t xml:space="preserve"> to request disciplinary proceedings against judges, to </w:t>
      </w:r>
      <w:r w:rsidRPr="004E2E14">
        <w:rPr>
          <w:rFonts w:ascii="Times New Roman" w:hAnsi="Times New Roman" w:cs="Times New Roman"/>
          <w:sz w:val="24"/>
          <w:szCs w:val="24"/>
        </w:rPr>
        <w:t xml:space="preserve">dismiss the presidents of lower courts and </w:t>
      </w:r>
      <w:r w:rsidR="00CB0414" w:rsidRPr="004E2E14">
        <w:rPr>
          <w:rFonts w:ascii="Times New Roman" w:hAnsi="Times New Roman" w:cs="Times New Roman"/>
          <w:sz w:val="24"/>
          <w:szCs w:val="24"/>
        </w:rPr>
        <w:t xml:space="preserve">to </w:t>
      </w:r>
      <w:r w:rsidRPr="004E2E14">
        <w:rPr>
          <w:rFonts w:ascii="Times New Roman" w:hAnsi="Times New Roman" w:cs="Times New Roman"/>
          <w:sz w:val="24"/>
          <w:szCs w:val="24"/>
        </w:rPr>
        <w:t xml:space="preserve">appoint his own chosen candidates. </w:t>
      </w:r>
    </w:p>
    <w:p w14:paraId="052EA92D" w14:textId="381BCB6B" w:rsidR="00903710" w:rsidRPr="004E2E14" w:rsidRDefault="00903710"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The Commission has referred all these modifications to the CJEU for failure to fulfil obligations</w:t>
      </w:r>
      <w:r w:rsidR="00412EE4">
        <w:rPr>
          <w:rFonts w:ascii="Times New Roman" w:hAnsi="Times New Roman" w:cs="Times New Roman"/>
          <w:sz w:val="24"/>
          <w:szCs w:val="24"/>
        </w:rPr>
        <w:t>,</w:t>
      </w:r>
      <w:r w:rsidR="00497244" w:rsidRPr="004E2E14">
        <w:rPr>
          <w:rFonts w:ascii="Times New Roman" w:hAnsi="Times New Roman" w:cs="Times New Roman"/>
          <w:sz w:val="24"/>
          <w:szCs w:val="24"/>
        </w:rPr>
        <w:t xml:space="preserve"> and </w:t>
      </w:r>
      <w:r w:rsidR="00412EE4">
        <w:rPr>
          <w:rFonts w:ascii="Times New Roman" w:hAnsi="Times New Roman" w:cs="Times New Roman"/>
          <w:sz w:val="24"/>
          <w:szCs w:val="24"/>
        </w:rPr>
        <w:t>Polish</w:t>
      </w:r>
      <w:r w:rsidR="00497244" w:rsidRPr="004E2E14">
        <w:rPr>
          <w:rFonts w:ascii="Times New Roman" w:hAnsi="Times New Roman" w:cs="Times New Roman"/>
          <w:sz w:val="24"/>
          <w:szCs w:val="24"/>
        </w:rPr>
        <w:t xml:space="preserve"> </w:t>
      </w:r>
      <w:r w:rsidR="00117010" w:rsidRPr="004E2E14">
        <w:rPr>
          <w:rFonts w:ascii="Times New Roman" w:hAnsi="Times New Roman" w:cs="Times New Roman"/>
          <w:sz w:val="24"/>
          <w:szCs w:val="24"/>
        </w:rPr>
        <w:t>judges</w:t>
      </w:r>
      <w:r w:rsidR="00497244" w:rsidRPr="004E2E14">
        <w:rPr>
          <w:rFonts w:ascii="Times New Roman" w:hAnsi="Times New Roman" w:cs="Times New Roman"/>
          <w:sz w:val="24"/>
          <w:szCs w:val="24"/>
        </w:rPr>
        <w:t xml:space="preserve"> have been struggling against executive power</w:t>
      </w:r>
      <w:r w:rsidR="00E01DB9" w:rsidRPr="004E2E14">
        <w:rPr>
          <w:rFonts w:ascii="Times New Roman" w:hAnsi="Times New Roman" w:cs="Times New Roman"/>
          <w:sz w:val="24"/>
          <w:szCs w:val="24"/>
        </w:rPr>
        <w:t>, in national and international courts</w:t>
      </w:r>
      <w:r w:rsidR="00497244" w:rsidRPr="004E2E14">
        <w:rPr>
          <w:rFonts w:ascii="Times New Roman" w:hAnsi="Times New Roman" w:cs="Times New Roman"/>
          <w:sz w:val="24"/>
          <w:szCs w:val="24"/>
        </w:rPr>
        <w:t>.</w:t>
      </w:r>
    </w:p>
    <w:p w14:paraId="1A73A760" w14:textId="1B556C05" w:rsidR="00EF0428" w:rsidRPr="004E2E14" w:rsidRDefault="009E45F1" w:rsidP="001D12B5">
      <w:pPr>
        <w:pStyle w:val="Prrafodelista"/>
        <w:spacing w:before="240"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That is</w:t>
      </w:r>
      <w:r w:rsidR="00672086" w:rsidRPr="004E2E14">
        <w:rPr>
          <w:rFonts w:ascii="Times New Roman" w:hAnsi="Times New Roman" w:cs="Times New Roman"/>
          <w:sz w:val="24"/>
          <w:szCs w:val="24"/>
        </w:rPr>
        <w:t xml:space="preserve"> the case </w:t>
      </w:r>
      <w:r w:rsidR="00550E51" w:rsidRPr="004E2E14">
        <w:rPr>
          <w:rFonts w:ascii="Times New Roman" w:hAnsi="Times New Roman" w:cs="Times New Roman"/>
          <w:sz w:val="24"/>
          <w:szCs w:val="24"/>
        </w:rPr>
        <w:t>with</w:t>
      </w:r>
      <w:r w:rsidR="00672086" w:rsidRPr="004E2E14">
        <w:rPr>
          <w:rFonts w:ascii="Times New Roman" w:hAnsi="Times New Roman" w:cs="Times New Roman"/>
          <w:sz w:val="24"/>
          <w:szCs w:val="24"/>
        </w:rPr>
        <w:t xml:space="preserve"> </w:t>
      </w:r>
      <w:r w:rsidR="00A2308C" w:rsidRPr="004E2E14">
        <w:rPr>
          <w:rFonts w:ascii="Times New Roman" w:hAnsi="Times New Roman" w:cs="Times New Roman"/>
          <w:sz w:val="24"/>
          <w:szCs w:val="24"/>
        </w:rPr>
        <w:t xml:space="preserve">Waldemar </w:t>
      </w:r>
      <w:r w:rsidR="00B23F32" w:rsidRPr="004E2E14">
        <w:rPr>
          <w:rFonts w:ascii="Times New Roman" w:hAnsi="Times New Roman" w:cs="Times New Roman"/>
          <w:sz w:val="24"/>
          <w:szCs w:val="24"/>
        </w:rPr>
        <w:t>Zurek</w:t>
      </w:r>
      <w:r w:rsidR="00672086" w:rsidRPr="004E2E14">
        <w:rPr>
          <w:rFonts w:ascii="Times New Roman" w:hAnsi="Times New Roman" w:cs="Times New Roman"/>
          <w:sz w:val="24"/>
          <w:szCs w:val="24"/>
        </w:rPr>
        <w:t>.</w:t>
      </w:r>
      <w:r w:rsidR="00B23F32" w:rsidRPr="004E2E14">
        <w:rPr>
          <w:rFonts w:ascii="Times New Roman" w:hAnsi="Times New Roman" w:cs="Times New Roman"/>
          <w:sz w:val="24"/>
          <w:szCs w:val="24"/>
        </w:rPr>
        <w:t xml:space="preserve"> </w:t>
      </w:r>
      <w:r w:rsidR="00672086" w:rsidRPr="004E2E14">
        <w:rPr>
          <w:rFonts w:ascii="Times New Roman" w:hAnsi="Times New Roman" w:cs="Times New Roman"/>
          <w:sz w:val="24"/>
          <w:szCs w:val="24"/>
        </w:rPr>
        <w:t xml:space="preserve">Waldemar </w:t>
      </w:r>
      <w:r w:rsidR="00EF0428" w:rsidRPr="004E2E14">
        <w:rPr>
          <w:rFonts w:ascii="Times New Roman" w:hAnsi="Times New Roman" w:cs="Times New Roman"/>
          <w:sz w:val="24"/>
          <w:szCs w:val="24"/>
        </w:rPr>
        <w:t xml:space="preserve">Zurek is a judge of the Cracow Regional Court. He was also spokesperson for the National Council for the Judiciary, the constitutional body in Poland that used to safeguard the independence of courts and judges. In that capacity, he has been one of the main critics of the changes to </w:t>
      </w:r>
      <w:r w:rsidR="0028589F" w:rsidRPr="004E2E14">
        <w:rPr>
          <w:rFonts w:ascii="Times New Roman" w:hAnsi="Times New Roman" w:cs="Times New Roman"/>
          <w:sz w:val="24"/>
          <w:szCs w:val="24"/>
        </w:rPr>
        <w:t>the</w:t>
      </w:r>
      <w:r w:rsidR="00EF0428" w:rsidRPr="004E2E14">
        <w:rPr>
          <w:rFonts w:ascii="Times New Roman" w:hAnsi="Times New Roman" w:cs="Times New Roman"/>
          <w:sz w:val="24"/>
          <w:szCs w:val="24"/>
        </w:rPr>
        <w:t xml:space="preserve"> judiciary initiated by the legislative and executive branches of the new </w:t>
      </w:r>
      <w:r w:rsidR="000E1870">
        <w:rPr>
          <w:rFonts w:ascii="Times New Roman" w:hAnsi="Times New Roman" w:cs="Times New Roman"/>
          <w:sz w:val="24"/>
          <w:szCs w:val="24"/>
        </w:rPr>
        <w:t>g</w:t>
      </w:r>
      <w:r w:rsidR="00EF0428" w:rsidRPr="004E2E14">
        <w:rPr>
          <w:rFonts w:ascii="Times New Roman" w:hAnsi="Times New Roman" w:cs="Times New Roman"/>
          <w:sz w:val="24"/>
          <w:szCs w:val="24"/>
        </w:rPr>
        <w:t>overnment</w:t>
      </w:r>
      <w:r w:rsidR="00412EE4">
        <w:rPr>
          <w:rFonts w:ascii="Times New Roman" w:hAnsi="Times New Roman" w:cs="Times New Roman"/>
          <w:sz w:val="24"/>
          <w:szCs w:val="24"/>
        </w:rPr>
        <w:t>,</w:t>
      </w:r>
      <w:r w:rsidR="00EF0428" w:rsidRPr="004E2E14">
        <w:rPr>
          <w:rFonts w:ascii="Times New Roman" w:hAnsi="Times New Roman" w:cs="Times New Roman"/>
          <w:sz w:val="24"/>
          <w:szCs w:val="24"/>
        </w:rPr>
        <w:t xml:space="preserve"> which came to power in 2015, pointing particularly to the threat to judicial independence. </w:t>
      </w:r>
    </w:p>
    <w:p w14:paraId="00DD2D10" w14:textId="4FFC514B" w:rsidR="008D00DA" w:rsidRPr="004E2E14" w:rsidRDefault="00EF0428" w:rsidP="001D12B5">
      <w:pPr>
        <w:pStyle w:val="Prrafodelista"/>
        <w:spacing w:before="240"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Zurek</w:t>
      </w:r>
      <w:r w:rsidR="00672086" w:rsidRPr="004E2E14">
        <w:rPr>
          <w:rFonts w:ascii="Times New Roman" w:hAnsi="Times New Roman" w:cs="Times New Roman"/>
          <w:sz w:val="24"/>
          <w:szCs w:val="24"/>
        </w:rPr>
        <w:t xml:space="preserve"> </w:t>
      </w:r>
      <w:r w:rsidR="00E23B16" w:rsidRPr="004E2E14">
        <w:rPr>
          <w:rFonts w:ascii="Times New Roman" w:hAnsi="Times New Roman" w:cs="Times New Roman"/>
          <w:sz w:val="24"/>
          <w:szCs w:val="24"/>
        </w:rPr>
        <w:t>challenge</w:t>
      </w:r>
      <w:r w:rsidR="00B23F32" w:rsidRPr="004E2E14">
        <w:rPr>
          <w:rFonts w:ascii="Times New Roman" w:hAnsi="Times New Roman" w:cs="Times New Roman"/>
          <w:sz w:val="24"/>
          <w:szCs w:val="24"/>
        </w:rPr>
        <w:t>d</w:t>
      </w:r>
      <w:r w:rsidR="003162FA" w:rsidRPr="004E2E14">
        <w:rPr>
          <w:rFonts w:ascii="Times New Roman" w:hAnsi="Times New Roman" w:cs="Times New Roman"/>
          <w:sz w:val="24"/>
          <w:szCs w:val="24"/>
        </w:rPr>
        <w:t xml:space="preserve"> at the </w:t>
      </w:r>
      <w:r w:rsidR="00412EE4">
        <w:rPr>
          <w:rFonts w:ascii="Times New Roman" w:hAnsi="Times New Roman" w:cs="Times New Roman"/>
          <w:sz w:val="24"/>
          <w:szCs w:val="24"/>
        </w:rPr>
        <w:t>P</w:t>
      </w:r>
      <w:r w:rsidR="003162FA" w:rsidRPr="004E2E14">
        <w:rPr>
          <w:rFonts w:ascii="Times New Roman" w:hAnsi="Times New Roman" w:cs="Times New Roman"/>
          <w:sz w:val="24"/>
          <w:szCs w:val="24"/>
        </w:rPr>
        <w:t>olish Supreme Court (Sad Najwyzszy)</w:t>
      </w:r>
      <w:r w:rsidR="00E23B16" w:rsidRPr="004E2E14">
        <w:rPr>
          <w:rFonts w:ascii="Times New Roman" w:hAnsi="Times New Roman" w:cs="Times New Roman"/>
          <w:sz w:val="24"/>
          <w:szCs w:val="24"/>
        </w:rPr>
        <w:t xml:space="preserve"> a resolution of the </w:t>
      </w:r>
      <w:r w:rsidRPr="004E2E14">
        <w:rPr>
          <w:rFonts w:ascii="Times New Roman" w:hAnsi="Times New Roman" w:cs="Times New Roman"/>
          <w:sz w:val="24"/>
          <w:szCs w:val="24"/>
        </w:rPr>
        <w:t>National Council for the Judiciary</w:t>
      </w:r>
      <w:r w:rsidR="00B23F32" w:rsidRPr="004E2E14">
        <w:rPr>
          <w:rFonts w:ascii="Times New Roman" w:hAnsi="Times New Roman" w:cs="Times New Roman"/>
          <w:sz w:val="24"/>
          <w:szCs w:val="24"/>
        </w:rPr>
        <w:t>,</w:t>
      </w:r>
      <w:r w:rsidR="00E23B16" w:rsidRPr="004E2E14">
        <w:rPr>
          <w:rFonts w:ascii="Times New Roman" w:hAnsi="Times New Roman" w:cs="Times New Roman"/>
          <w:sz w:val="24"/>
          <w:szCs w:val="24"/>
        </w:rPr>
        <w:t xml:space="preserve"> finding there was no need to adjudicate on the action he brought before that body against a decision transferring him, without his consent, from one division </w:t>
      </w:r>
      <w:r w:rsidR="009E238D" w:rsidRPr="004E2E14">
        <w:rPr>
          <w:rFonts w:ascii="Times New Roman" w:hAnsi="Times New Roman" w:cs="Times New Roman"/>
          <w:sz w:val="24"/>
          <w:szCs w:val="24"/>
        </w:rPr>
        <w:t>to another of the court to which he is assigned as a judge.</w:t>
      </w:r>
      <w:r w:rsidR="00C7380D" w:rsidRPr="004E2E14">
        <w:rPr>
          <w:rStyle w:val="Refdenotaalpie"/>
          <w:rFonts w:ascii="Times New Roman" w:hAnsi="Times New Roman" w:cs="Times New Roman"/>
          <w:sz w:val="24"/>
          <w:szCs w:val="24"/>
        </w:rPr>
        <w:footnoteReference w:id="72"/>
      </w:r>
      <w:r w:rsidR="00E25EA2" w:rsidRPr="004E2E14">
        <w:rPr>
          <w:rFonts w:ascii="Times New Roman" w:hAnsi="Times New Roman" w:cs="Times New Roman"/>
          <w:sz w:val="24"/>
          <w:szCs w:val="24"/>
        </w:rPr>
        <w:t xml:space="preserve"> The court </w:t>
      </w:r>
      <w:r w:rsidR="00E25EA2" w:rsidRPr="004E2E14">
        <w:rPr>
          <w:rFonts w:ascii="Times New Roman" w:hAnsi="Times New Roman" w:cs="Times New Roman"/>
          <w:i/>
          <w:iCs/>
          <w:sz w:val="24"/>
          <w:szCs w:val="24"/>
        </w:rPr>
        <w:t>a quo</w:t>
      </w:r>
      <w:r w:rsidR="00497AD5" w:rsidRPr="004E2E14">
        <w:rPr>
          <w:rFonts w:ascii="Times New Roman" w:hAnsi="Times New Roman" w:cs="Times New Roman"/>
          <w:sz w:val="24"/>
          <w:szCs w:val="24"/>
        </w:rPr>
        <w:t>,</w:t>
      </w:r>
      <w:r w:rsidR="00E25EA2" w:rsidRPr="004E2E14">
        <w:rPr>
          <w:rFonts w:ascii="Times New Roman" w:hAnsi="Times New Roman" w:cs="Times New Roman"/>
          <w:sz w:val="24"/>
          <w:szCs w:val="24"/>
        </w:rPr>
        <w:t xml:space="preserve"> presented </w:t>
      </w:r>
      <w:r w:rsidR="00497AD5" w:rsidRPr="004E2E14">
        <w:rPr>
          <w:rFonts w:ascii="Times New Roman" w:hAnsi="Times New Roman" w:cs="Times New Roman"/>
          <w:sz w:val="24"/>
          <w:szCs w:val="24"/>
        </w:rPr>
        <w:t xml:space="preserve">at the </w:t>
      </w:r>
      <w:r w:rsidR="00B23F32" w:rsidRPr="004E2E14">
        <w:rPr>
          <w:rFonts w:ascii="Times New Roman" w:hAnsi="Times New Roman" w:cs="Times New Roman"/>
          <w:sz w:val="24"/>
          <w:szCs w:val="24"/>
        </w:rPr>
        <w:t>CJEU</w:t>
      </w:r>
      <w:r w:rsidR="00497AD5" w:rsidRPr="004E2E14">
        <w:rPr>
          <w:rFonts w:ascii="Times New Roman" w:hAnsi="Times New Roman" w:cs="Times New Roman"/>
          <w:sz w:val="24"/>
          <w:szCs w:val="24"/>
        </w:rPr>
        <w:t xml:space="preserve"> </w:t>
      </w:r>
      <w:r w:rsidR="00E25EA2" w:rsidRPr="004E2E14">
        <w:rPr>
          <w:rFonts w:ascii="Times New Roman" w:hAnsi="Times New Roman" w:cs="Times New Roman"/>
          <w:sz w:val="24"/>
          <w:szCs w:val="24"/>
        </w:rPr>
        <w:t xml:space="preserve">a request </w:t>
      </w:r>
      <w:r w:rsidR="00497AD5" w:rsidRPr="004E2E14">
        <w:rPr>
          <w:rFonts w:ascii="Times New Roman" w:hAnsi="Times New Roman" w:cs="Times New Roman"/>
          <w:sz w:val="24"/>
          <w:szCs w:val="24"/>
        </w:rPr>
        <w:t>for a preliminary ruling concerning the interpretation of</w:t>
      </w:r>
      <w:r w:rsidR="00E25EA2" w:rsidRPr="004E2E14">
        <w:rPr>
          <w:rFonts w:ascii="Times New Roman" w:hAnsi="Times New Roman" w:cs="Times New Roman"/>
          <w:sz w:val="24"/>
          <w:szCs w:val="24"/>
        </w:rPr>
        <w:t xml:space="preserve"> </w:t>
      </w:r>
      <w:r w:rsidR="005F1CEE" w:rsidRPr="004E2E14">
        <w:rPr>
          <w:rFonts w:ascii="Times New Roman" w:hAnsi="Times New Roman" w:cs="Times New Roman"/>
          <w:sz w:val="24"/>
          <w:szCs w:val="24"/>
        </w:rPr>
        <w:t>A</w:t>
      </w:r>
      <w:r w:rsidR="00E25EA2" w:rsidRPr="004E2E14">
        <w:rPr>
          <w:rFonts w:ascii="Times New Roman" w:hAnsi="Times New Roman" w:cs="Times New Roman"/>
          <w:sz w:val="24"/>
          <w:szCs w:val="24"/>
        </w:rPr>
        <w:t>rticle</w:t>
      </w:r>
      <w:r w:rsidR="00CB0414" w:rsidRPr="004E2E14">
        <w:rPr>
          <w:rFonts w:ascii="Times New Roman" w:hAnsi="Times New Roman" w:cs="Times New Roman"/>
          <w:sz w:val="24"/>
          <w:szCs w:val="24"/>
        </w:rPr>
        <w:t>s</w:t>
      </w:r>
      <w:r w:rsidR="0049094C" w:rsidRPr="004E2E14">
        <w:rPr>
          <w:rFonts w:ascii="Times New Roman" w:hAnsi="Times New Roman" w:cs="Times New Roman"/>
          <w:sz w:val="24"/>
          <w:szCs w:val="24"/>
        </w:rPr>
        <w:t xml:space="preserve"> </w:t>
      </w:r>
      <w:r w:rsidR="00E25EA2" w:rsidRPr="004E2E14">
        <w:rPr>
          <w:rFonts w:ascii="Times New Roman" w:hAnsi="Times New Roman" w:cs="Times New Roman"/>
          <w:sz w:val="24"/>
          <w:szCs w:val="24"/>
        </w:rPr>
        <w:t>2</w:t>
      </w:r>
      <w:r w:rsidR="009E42DD" w:rsidRPr="004E2E14">
        <w:rPr>
          <w:rFonts w:ascii="Times New Roman" w:hAnsi="Times New Roman" w:cs="Times New Roman"/>
          <w:sz w:val="24"/>
          <w:szCs w:val="24"/>
        </w:rPr>
        <w:t xml:space="preserve"> (EU values)</w:t>
      </w:r>
      <w:r w:rsidR="00E25EA2" w:rsidRPr="004E2E14">
        <w:rPr>
          <w:rFonts w:ascii="Times New Roman" w:hAnsi="Times New Roman" w:cs="Times New Roman"/>
          <w:sz w:val="24"/>
          <w:szCs w:val="24"/>
        </w:rPr>
        <w:t>, 6</w:t>
      </w:r>
      <w:r w:rsidR="00380597">
        <w:rPr>
          <w:rFonts w:ascii="Times New Roman" w:hAnsi="Times New Roman" w:cs="Times New Roman"/>
          <w:sz w:val="24"/>
          <w:szCs w:val="24"/>
        </w:rPr>
        <w:t>(</w:t>
      </w:r>
      <w:r w:rsidR="00E25EA2" w:rsidRPr="004E2E14">
        <w:rPr>
          <w:rFonts w:ascii="Times New Roman" w:hAnsi="Times New Roman" w:cs="Times New Roman"/>
          <w:sz w:val="24"/>
          <w:szCs w:val="24"/>
        </w:rPr>
        <w:t>1</w:t>
      </w:r>
      <w:r w:rsidR="00380597">
        <w:rPr>
          <w:rFonts w:ascii="Times New Roman" w:hAnsi="Times New Roman" w:cs="Times New Roman"/>
          <w:sz w:val="24"/>
          <w:szCs w:val="24"/>
        </w:rPr>
        <w:t>,</w:t>
      </w:r>
      <w:r w:rsidR="00E25EA2" w:rsidRPr="004E2E14">
        <w:rPr>
          <w:rFonts w:ascii="Times New Roman" w:hAnsi="Times New Roman" w:cs="Times New Roman"/>
          <w:sz w:val="24"/>
          <w:szCs w:val="24"/>
        </w:rPr>
        <w:t>3</w:t>
      </w:r>
      <w:r w:rsidR="00380597">
        <w:rPr>
          <w:rFonts w:ascii="Times New Roman" w:hAnsi="Times New Roman" w:cs="Times New Roman"/>
          <w:sz w:val="24"/>
          <w:szCs w:val="24"/>
        </w:rPr>
        <w:t>)</w:t>
      </w:r>
      <w:r w:rsidR="00B23F32" w:rsidRPr="004E2E14">
        <w:rPr>
          <w:rFonts w:ascii="Times New Roman" w:hAnsi="Times New Roman" w:cs="Times New Roman"/>
          <w:sz w:val="24"/>
          <w:szCs w:val="24"/>
        </w:rPr>
        <w:t xml:space="preserve"> (recognition of the rights</w:t>
      </w:r>
      <w:r w:rsidR="002E1EB1" w:rsidRPr="004E2E14">
        <w:rPr>
          <w:rFonts w:ascii="Times New Roman" w:hAnsi="Times New Roman" w:cs="Times New Roman"/>
          <w:sz w:val="24"/>
          <w:szCs w:val="24"/>
        </w:rPr>
        <w:t>, freedoms and principles</w:t>
      </w:r>
      <w:r w:rsidR="00B23F32" w:rsidRPr="004E2E14">
        <w:rPr>
          <w:rFonts w:ascii="Times New Roman" w:hAnsi="Times New Roman" w:cs="Times New Roman"/>
          <w:sz w:val="24"/>
          <w:szCs w:val="24"/>
        </w:rPr>
        <w:t xml:space="preserve"> </w:t>
      </w:r>
      <w:r w:rsidR="002E1EB1" w:rsidRPr="004E2E14">
        <w:rPr>
          <w:rFonts w:ascii="Times New Roman" w:hAnsi="Times New Roman" w:cs="Times New Roman"/>
          <w:sz w:val="24"/>
          <w:szCs w:val="24"/>
        </w:rPr>
        <w:t>set out in the Chart</w:t>
      </w:r>
      <w:r w:rsidR="00AF6100" w:rsidRPr="004E2E14">
        <w:rPr>
          <w:rFonts w:ascii="Times New Roman" w:hAnsi="Times New Roman" w:cs="Times New Roman"/>
          <w:sz w:val="24"/>
          <w:szCs w:val="24"/>
        </w:rPr>
        <w:t>er</w:t>
      </w:r>
      <w:r w:rsidR="002E1EB1" w:rsidRPr="004E2E14">
        <w:rPr>
          <w:rFonts w:ascii="Times New Roman" w:hAnsi="Times New Roman" w:cs="Times New Roman"/>
          <w:sz w:val="24"/>
          <w:szCs w:val="24"/>
        </w:rPr>
        <w:t>)</w:t>
      </w:r>
      <w:r w:rsidR="003A7A3B" w:rsidRPr="004E2E14">
        <w:rPr>
          <w:rFonts w:ascii="Times New Roman" w:hAnsi="Times New Roman" w:cs="Times New Roman"/>
          <w:sz w:val="24"/>
          <w:szCs w:val="24"/>
        </w:rPr>
        <w:t>,</w:t>
      </w:r>
      <w:r w:rsidR="00E25EA2" w:rsidRPr="004E2E14">
        <w:rPr>
          <w:rFonts w:ascii="Times New Roman" w:hAnsi="Times New Roman" w:cs="Times New Roman"/>
          <w:sz w:val="24"/>
          <w:szCs w:val="24"/>
        </w:rPr>
        <w:t xml:space="preserve"> and 19</w:t>
      </w:r>
      <w:r w:rsidR="00380597">
        <w:rPr>
          <w:rFonts w:ascii="Times New Roman" w:hAnsi="Times New Roman" w:cs="Times New Roman"/>
          <w:sz w:val="24"/>
          <w:szCs w:val="24"/>
        </w:rPr>
        <w:t>(</w:t>
      </w:r>
      <w:r w:rsidR="00E25EA2" w:rsidRPr="004E2E14">
        <w:rPr>
          <w:rFonts w:ascii="Times New Roman" w:hAnsi="Times New Roman" w:cs="Times New Roman"/>
          <w:sz w:val="24"/>
          <w:szCs w:val="24"/>
        </w:rPr>
        <w:t>1</w:t>
      </w:r>
      <w:r w:rsidR="00497AD5" w:rsidRPr="004E2E14">
        <w:rPr>
          <w:rFonts w:ascii="Times New Roman" w:hAnsi="Times New Roman" w:cs="Times New Roman"/>
          <w:sz w:val="24"/>
          <w:szCs w:val="24"/>
        </w:rPr>
        <w:t>,§º2</w:t>
      </w:r>
      <w:r w:rsidR="00380597">
        <w:rPr>
          <w:rFonts w:ascii="Times New Roman" w:hAnsi="Times New Roman" w:cs="Times New Roman"/>
          <w:sz w:val="24"/>
          <w:szCs w:val="24"/>
        </w:rPr>
        <w:t>)</w:t>
      </w:r>
      <w:r w:rsidR="002E1EB1" w:rsidRPr="004E2E14">
        <w:rPr>
          <w:rFonts w:ascii="Times New Roman" w:hAnsi="Times New Roman" w:cs="Times New Roman"/>
          <w:sz w:val="24"/>
          <w:szCs w:val="24"/>
        </w:rPr>
        <w:t xml:space="preserve"> (remedies to ensure effective legal protection)</w:t>
      </w:r>
      <w:r w:rsidR="00380597">
        <w:rPr>
          <w:rFonts w:ascii="Times New Roman" w:hAnsi="Times New Roman" w:cs="Times New Roman"/>
          <w:sz w:val="24"/>
          <w:szCs w:val="24"/>
        </w:rPr>
        <w:t xml:space="preserve"> TUE</w:t>
      </w:r>
      <w:r w:rsidR="00497AD5" w:rsidRPr="004E2E14">
        <w:rPr>
          <w:rFonts w:ascii="Times New Roman" w:hAnsi="Times New Roman" w:cs="Times New Roman"/>
          <w:sz w:val="24"/>
          <w:szCs w:val="24"/>
        </w:rPr>
        <w:t>,</w:t>
      </w:r>
      <w:r w:rsidR="005F1CEE" w:rsidRPr="004E2E14">
        <w:rPr>
          <w:rFonts w:ascii="Times New Roman" w:hAnsi="Times New Roman" w:cs="Times New Roman"/>
          <w:sz w:val="24"/>
          <w:szCs w:val="24"/>
        </w:rPr>
        <w:t xml:space="preserve"> Article 267</w:t>
      </w:r>
      <w:r w:rsidR="00512ED1" w:rsidRPr="004E2E14">
        <w:rPr>
          <w:rFonts w:ascii="Times New Roman" w:hAnsi="Times New Roman" w:cs="Times New Roman"/>
          <w:sz w:val="24"/>
          <w:szCs w:val="24"/>
        </w:rPr>
        <w:t xml:space="preserve"> (preliminary rulings)</w:t>
      </w:r>
      <w:r w:rsidR="005F1CEE" w:rsidRPr="004E2E14">
        <w:rPr>
          <w:rFonts w:ascii="Times New Roman" w:hAnsi="Times New Roman" w:cs="Times New Roman"/>
          <w:sz w:val="24"/>
          <w:szCs w:val="24"/>
        </w:rPr>
        <w:t xml:space="preserve"> </w:t>
      </w:r>
      <w:r w:rsidR="00BB1B83" w:rsidRPr="004E2E14">
        <w:rPr>
          <w:rFonts w:ascii="Times New Roman" w:hAnsi="Times New Roman" w:cs="Times New Roman"/>
          <w:sz w:val="24"/>
          <w:szCs w:val="24"/>
        </w:rPr>
        <w:t>of the Treaty on the Functioning of the European Union (</w:t>
      </w:r>
      <w:r w:rsidR="005F1CEE" w:rsidRPr="004E2E14">
        <w:rPr>
          <w:rFonts w:ascii="Times New Roman" w:hAnsi="Times New Roman" w:cs="Times New Roman"/>
          <w:sz w:val="24"/>
          <w:szCs w:val="24"/>
        </w:rPr>
        <w:t>TFEU</w:t>
      </w:r>
      <w:r w:rsidR="00BB1B83" w:rsidRPr="004E2E14">
        <w:rPr>
          <w:rFonts w:ascii="Times New Roman" w:hAnsi="Times New Roman" w:cs="Times New Roman"/>
          <w:sz w:val="24"/>
          <w:szCs w:val="24"/>
        </w:rPr>
        <w:t>)</w:t>
      </w:r>
      <w:r w:rsidR="005F1CEE" w:rsidRPr="004E2E14">
        <w:rPr>
          <w:rFonts w:ascii="Times New Roman" w:hAnsi="Times New Roman" w:cs="Times New Roman"/>
          <w:sz w:val="24"/>
          <w:szCs w:val="24"/>
        </w:rPr>
        <w:t xml:space="preserve"> and Article 47 </w:t>
      </w:r>
      <w:r w:rsidR="00512ED1" w:rsidRPr="004E2E14">
        <w:rPr>
          <w:rFonts w:ascii="Times New Roman" w:hAnsi="Times New Roman" w:cs="Times New Roman"/>
          <w:sz w:val="24"/>
          <w:szCs w:val="24"/>
        </w:rPr>
        <w:t>(</w:t>
      </w:r>
      <w:r w:rsidR="00AF6100" w:rsidRPr="004E2E14">
        <w:rPr>
          <w:rFonts w:ascii="Times New Roman" w:hAnsi="Times New Roman" w:cs="Times New Roman"/>
          <w:sz w:val="24"/>
          <w:szCs w:val="24"/>
        </w:rPr>
        <w:t>right to an effective remedy and to a fair trial)</w:t>
      </w:r>
      <w:r w:rsidR="005F1CEE" w:rsidRPr="004E2E14">
        <w:rPr>
          <w:rFonts w:ascii="Times New Roman" w:hAnsi="Times New Roman" w:cs="Times New Roman"/>
          <w:sz w:val="24"/>
          <w:szCs w:val="24"/>
        </w:rPr>
        <w:t xml:space="preserve"> Charter.</w:t>
      </w:r>
    </w:p>
    <w:p w14:paraId="78D77696" w14:textId="09FA14FD" w:rsidR="009E238D" w:rsidRPr="004E2E14" w:rsidRDefault="009E238D"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In its </w:t>
      </w:r>
      <w:r w:rsidR="00550E51" w:rsidRPr="004E2E14">
        <w:rPr>
          <w:rFonts w:ascii="Times New Roman" w:hAnsi="Times New Roman" w:cs="Times New Roman"/>
          <w:sz w:val="24"/>
          <w:szCs w:val="24"/>
        </w:rPr>
        <w:t>defen</w:t>
      </w:r>
      <w:r w:rsidR="00375579">
        <w:rPr>
          <w:rFonts w:ascii="Times New Roman" w:hAnsi="Times New Roman" w:cs="Times New Roman"/>
          <w:sz w:val="24"/>
          <w:szCs w:val="24"/>
        </w:rPr>
        <w:t>c</w:t>
      </w:r>
      <w:r w:rsidR="00550E51" w:rsidRPr="004E2E14">
        <w:rPr>
          <w:rFonts w:ascii="Times New Roman" w:hAnsi="Times New Roman" w:cs="Times New Roman"/>
          <w:sz w:val="24"/>
          <w:szCs w:val="24"/>
        </w:rPr>
        <w:t>e</w:t>
      </w:r>
      <w:r w:rsidRPr="004E2E14">
        <w:rPr>
          <w:rFonts w:ascii="Times New Roman" w:hAnsi="Times New Roman" w:cs="Times New Roman"/>
          <w:sz w:val="24"/>
          <w:szCs w:val="24"/>
        </w:rPr>
        <w:t>, Poland</w:t>
      </w:r>
      <w:r w:rsidR="007D4963" w:rsidRPr="004E2E14">
        <w:rPr>
          <w:rFonts w:ascii="Times New Roman" w:hAnsi="Times New Roman" w:cs="Times New Roman"/>
          <w:sz w:val="24"/>
          <w:szCs w:val="24"/>
        </w:rPr>
        <w:t xml:space="preserve"> argues that the organization of the national justice system constitutes a competence reserved exclusively to the </w:t>
      </w:r>
      <w:r w:rsidR="00062F6C">
        <w:rPr>
          <w:rFonts w:ascii="Times New Roman" w:hAnsi="Times New Roman" w:cs="Times New Roman"/>
          <w:sz w:val="24"/>
          <w:szCs w:val="24"/>
        </w:rPr>
        <w:t>Member States</w:t>
      </w:r>
      <w:r w:rsidR="007D4963" w:rsidRPr="004E2E14">
        <w:rPr>
          <w:rFonts w:ascii="Times New Roman" w:hAnsi="Times New Roman" w:cs="Times New Roman"/>
          <w:sz w:val="24"/>
          <w:szCs w:val="24"/>
        </w:rPr>
        <w:t xml:space="preserve"> and</w:t>
      </w:r>
      <w:r w:rsidR="00E16B53" w:rsidRPr="004E2E14">
        <w:rPr>
          <w:rFonts w:ascii="Times New Roman" w:hAnsi="Times New Roman" w:cs="Times New Roman"/>
          <w:sz w:val="24"/>
          <w:szCs w:val="24"/>
        </w:rPr>
        <w:t xml:space="preserve"> </w:t>
      </w:r>
      <w:r w:rsidRPr="004E2E14">
        <w:rPr>
          <w:rFonts w:ascii="Times New Roman" w:hAnsi="Times New Roman" w:cs="Times New Roman"/>
          <w:sz w:val="24"/>
          <w:szCs w:val="24"/>
        </w:rPr>
        <w:t xml:space="preserve">invokes </w:t>
      </w:r>
      <w:r w:rsidR="005F1CEE" w:rsidRPr="004E2E14">
        <w:rPr>
          <w:rFonts w:ascii="Times New Roman" w:hAnsi="Times New Roman" w:cs="Times New Roman"/>
          <w:sz w:val="24"/>
          <w:szCs w:val="24"/>
        </w:rPr>
        <w:t>A</w:t>
      </w:r>
      <w:r w:rsidRPr="004E2E14">
        <w:rPr>
          <w:rFonts w:ascii="Times New Roman" w:hAnsi="Times New Roman" w:cs="Times New Roman"/>
          <w:sz w:val="24"/>
          <w:szCs w:val="24"/>
        </w:rPr>
        <w:t>rticle 4</w:t>
      </w:r>
      <w:r w:rsidR="00380597">
        <w:rPr>
          <w:rFonts w:ascii="Times New Roman" w:hAnsi="Times New Roman" w:cs="Times New Roman"/>
          <w:sz w:val="24"/>
          <w:szCs w:val="24"/>
        </w:rPr>
        <w:t>(</w:t>
      </w:r>
      <w:r w:rsidRPr="004E2E14">
        <w:rPr>
          <w:rFonts w:ascii="Times New Roman" w:hAnsi="Times New Roman" w:cs="Times New Roman"/>
          <w:sz w:val="24"/>
          <w:szCs w:val="24"/>
        </w:rPr>
        <w:t>2</w:t>
      </w:r>
      <w:r w:rsidR="00380597">
        <w:rPr>
          <w:rFonts w:ascii="Times New Roman" w:hAnsi="Times New Roman" w:cs="Times New Roman"/>
          <w:sz w:val="24"/>
          <w:szCs w:val="24"/>
        </w:rPr>
        <w:t xml:space="preserve">) </w:t>
      </w:r>
      <w:r w:rsidRPr="004E2E14">
        <w:rPr>
          <w:rFonts w:ascii="Times New Roman" w:hAnsi="Times New Roman" w:cs="Times New Roman"/>
          <w:sz w:val="24"/>
          <w:szCs w:val="24"/>
        </w:rPr>
        <w:t>TEU</w:t>
      </w:r>
      <w:r w:rsidR="00700286" w:rsidRPr="004E2E14">
        <w:rPr>
          <w:rFonts w:ascii="Times New Roman" w:hAnsi="Times New Roman" w:cs="Times New Roman"/>
          <w:sz w:val="24"/>
          <w:szCs w:val="24"/>
        </w:rPr>
        <w:t xml:space="preserve">, </w:t>
      </w:r>
      <w:r w:rsidR="00195055" w:rsidRPr="004E2E14">
        <w:rPr>
          <w:rFonts w:ascii="Times New Roman" w:hAnsi="Times New Roman" w:cs="Times New Roman"/>
          <w:sz w:val="24"/>
          <w:szCs w:val="24"/>
        </w:rPr>
        <w:t>which</w:t>
      </w:r>
      <w:r w:rsidR="00700286" w:rsidRPr="004E2E14">
        <w:rPr>
          <w:rFonts w:ascii="Times New Roman" w:hAnsi="Times New Roman" w:cs="Times New Roman"/>
          <w:sz w:val="24"/>
          <w:szCs w:val="24"/>
        </w:rPr>
        <w:t xml:space="preserve"> establishes that «[t]he Union sh</w:t>
      </w:r>
      <w:r w:rsidR="006A29EE" w:rsidRPr="004E2E14">
        <w:rPr>
          <w:rFonts w:ascii="Times New Roman" w:hAnsi="Times New Roman" w:cs="Times New Roman"/>
          <w:sz w:val="24"/>
          <w:szCs w:val="24"/>
        </w:rPr>
        <w:t>a</w:t>
      </w:r>
      <w:r w:rsidR="00700286" w:rsidRPr="004E2E14">
        <w:rPr>
          <w:rFonts w:ascii="Times New Roman" w:hAnsi="Times New Roman" w:cs="Times New Roman"/>
          <w:sz w:val="24"/>
          <w:szCs w:val="24"/>
        </w:rPr>
        <w:t xml:space="preserve">ll respect the equality of </w:t>
      </w:r>
      <w:r w:rsidR="00062F6C">
        <w:rPr>
          <w:rFonts w:ascii="Times New Roman" w:hAnsi="Times New Roman" w:cs="Times New Roman"/>
          <w:sz w:val="24"/>
          <w:szCs w:val="24"/>
        </w:rPr>
        <w:t>Member States</w:t>
      </w:r>
      <w:r w:rsidR="00700286" w:rsidRPr="004E2E14">
        <w:rPr>
          <w:rFonts w:ascii="Times New Roman" w:hAnsi="Times New Roman" w:cs="Times New Roman"/>
          <w:sz w:val="24"/>
          <w:szCs w:val="24"/>
        </w:rPr>
        <w:t xml:space="preserve"> before the Treaties as well as their national identities, inherent in their fundamental </w:t>
      </w:r>
      <w:r w:rsidR="006D5C8E" w:rsidRPr="004E2E14">
        <w:rPr>
          <w:rFonts w:ascii="Times New Roman" w:hAnsi="Times New Roman" w:cs="Times New Roman"/>
          <w:sz w:val="24"/>
          <w:szCs w:val="24"/>
        </w:rPr>
        <w:t>structures, political and constitutional (…). It sh</w:t>
      </w:r>
      <w:r w:rsidR="006A29EE" w:rsidRPr="004E2E14">
        <w:rPr>
          <w:rFonts w:ascii="Times New Roman" w:hAnsi="Times New Roman" w:cs="Times New Roman"/>
          <w:sz w:val="24"/>
          <w:szCs w:val="24"/>
        </w:rPr>
        <w:t>a</w:t>
      </w:r>
      <w:r w:rsidR="00C7380D" w:rsidRPr="004E2E14">
        <w:rPr>
          <w:rFonts w:ascii="Times New Roman" w:hAnsi="Times New Roman" w:cs="Times New Roman"/>
          <w:sz w:val="24"/>
          <w:szCs w:val="24"/>
        </w:rPr>
        <w:t xml:space="preserve">ll respect their essential </w:t>
      </w:r>
      <w:r w:rsidR="006A29EE" w:rsidRPr="004E2E14">
        <w:rPr>
          <w:rFonts w:ascii="Times New Roman" w:hAnsi="Times New Roman" w:cs="Times New Roman"/>
          <w:sz w:val="24"/>
          <w:szCs w:val="24"/>
        </w:rPr>
        <w:t>Sta</w:t>
      </w:r>
      <w:r w:rsidR="00C7380D" w:rsidRPr="004E2E14">
        <w:rPr>
          <w:rFonts w:ascii="Times New Roman" w:hAnsi="Times New Roman" w:cs="Times New Roman"/>
          <w:sz w:val="24"/>
          <w:szCs w:val="24"/>
        </w:rPr>
        <w:t>te functions (…)».</w:t>
      </w:r>
      <w:r w:rsidR="00CD1168" w:rsidRPr="004E2E14">
        <w:rPr>
          <w:rFonts w:ascii="Times New Roman" w:hAnsi="Times New Roman" w:cs="Times New Roman"/>
          <w:sz w:val="24"/>
          <w:szCs w:val="24"/>
        </w:rPr>
        <w:t xml:space="preserve"> The Polish </w:t>
      </w:r>
      <w:r w:rsidR="000E1870">
        <w:rPr>
          <w:rFonts w:ascii="Times New Roman" w:hAnsi="Times New Roman" w:cs="Times New Roman"/>
          <w:sz w:val="24"/>
          <w:szCs w:val="24"/>
        </w:rPr>
        <w:t>g</w:t>
      </w:r>
      <w:r w:rsidR="00CD1168" w:rsidRPr="004E2E14">
        <w:rPr>
          <w:rFonts w:ascii="Times New Roman" w:hAnsi="Times New Roman" w:cs="Times New Roman"/>
          <w:sz w:val="24"/>
          <w:szCs w:val="24"/>
        </w:rPr>
        <w:t xml:space="preserve">overnment also points out that the fact </w:t>
      </w:r>
      <w:r w:rsidR="00412EE4">
        <w:rPr>
          <w:rFonts w:ascii="Times New Roman" w:hAnsi="Times New Roman" w:cs="Times New Roman"/>
          <w:sz w:val="24"/>
          <w:szCs w:val="24"/>
        </w:rPr>
        <w:t xml:space="preserve">that </w:t>
      </w:r>
      <w:r w:rsidR="00062F6C">
        <w:rPr>
          <w:rFonts w:ascii="Times New Roman" w:hAnsi="Times New Roman" w:cs="Times New Roman"/>
          <w:sz w:val="24"/>
          <w:szCs w:val="24"/>
        </w:rPr>
        <w:t>Member States</w:t>
      </w:r>
      <w:r w:rsidR="00CD1168" w:rsidRPr="004E2E14">
        <w:rPr>
          <w:rFonts w:ascii="Times New Roman" w:hAnsi="Times New Roman" w:cs="Times New Roman"/>
          <w:sz w:val="24"/>
          <w:szCs w:val="24"/>
        </w:rPr>
        <w:t xml:space="preserve"> are required to provide effective remedies in the fields covered by EU law does not alter the substance of the principle of conferral or the extent of the European Union’s powers.</w:t>
      </w:r>
    </w:p>
    <w:p w14:paraId="298F445C" w14:textId="1DC77E78" w:rsidR="00164C3B" w:rsidRPr="004E2E14" w:rsidRDefault="00C7380D"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In response to this argument</w:t>
      </w:r>
      <w:r w:rsidR="00B05E45" w:rsidRPr="004E2E14">
        <w:rPr>
          <w:rFonts w:ascii="Times New Roman" w:hAnsi="Times New Roman" w:cs="Times New Roman"/>
          <w:sz w:val="24"/>
          <w:szCs w:val="24"/>
        </w:rPr>
        <w:t>, the CJ</w:t>
      </w:r>
      <w:r w:rsidR="0049094C" w:rsidRPr="004E2E14">
        <w:rPr>
          <w:rFonts w:ascii="Times New Roman" w:hAnsi="Times New Roman" w:cs="Times New Roman"/>
          <w:sz w:val="24"/>
          <w:szCs w:val="24"/>
        </w:rPr>
        <w:t>EU</w:t>
      </w:r>
      <w:r w:rsidR="00E40F28" w:rsidRPr="004E2E14">
        <w:rPr>
          <w:rFonts w:ascii="Times New Roman" w:hAnsi="Times New Roman" w:cs="Times New Roman"/>
          <w:sz w:val="24"/>
          <w:szCs w:val="24"/>
        </w:rPr>
        <w:t xml:space="preserve"> invokes the principle of the primacy of E</w:t>
      </w:r>
      <w:r w:rsidR="0049094C" w:rsidRPr="004E2E14">
        <w:rPr>
          <w:rFonts w:ascii="Times New Roman" w:hAnsi="Times New Roman" w:cs="Times New Roman"/>
          <w:sz w:val="24"/>
          <w:szCs w:val="24"/>
        </w:rPr>
        <w:t>U</w:t>
      </w:r>
      <w:r w:rsidR="00E40F28" w:rsidRPr="004E2E14">
        <w:rPr>
          <w:rFonts w:ascii="Times New Roman" w:hAnsi="Times New Roman" w:cs="Times New Roman"/>
          <w:sz w:val="24"/>
          <w:szCs w:val="24"/>
        </w:rPr>
        <w:t xml:space="preserve"> law and the principle of solidarity, </w:t>
      </w:r>
      <w:r w:rsidR="00B05E45" w:rsidRPr="004E2E14">
        <w:rPr>
          <w:rFonts w:ascii="Times New Roman" w:hAnsi="Times New Roman" w:cs="Times New Roman"/>
          <w:sz w:val="24"/>
          <w:szCs w:val="24"/>
        </w:rPr>
        <w:t>remember</w:t>
      </w:r>
      <w:r w:rsidR="00E40F28" w:rsidRPr="004E2E14">
        <w:rPr>
          <w:rFonts w:ascii="Times New Roman" w:hAnsi="Times New Roman" w:cs="Times New Roman"/>
          <w:sz w:val="24"/>
          <w:szCs w:val="24"/>
        </w:rPr>
        <w:t>ing</w:t>
      </w:r>
      <w:r w:rsidR="00B05E45" w:rsidRPr="004E2E14">
        <w:rPr>
          <w:rFonts w:ascii="Times New Roman" w:hAnsi="Times New Roman" w:cs="Times New Roman"/>
          <w:sz w:val="24"/>
          <w:szCs w:val="24"/>
        </w:rPr>
        <w:t xml:space="preserve"> that when exercising their competence, particular</w:t>
      </w:r>
      <w:r w:rsidR="00D22450" w:rsidRPr="004E2E14">
        <w:rPr>
          <w:rFonts w:ascii="Times New Roman" w:hAnsi="Times New Roman" w:cs="Times New Roman"/>
          <w:sz w:val="24"/>
          <w:szCs w:val="24"/>
        </w:rPr>
        <w:t>ly</w:t>
      </w:r>
      <w:r w:rsidR="00B05E45" w:rsidRPr="004E2E14">
        <w:rPr>
          <w:rFonts w:ascii="Times New Roman" w:hAnsi="Times New Roman" w:cs="Times New Roman"/>
          <w:sz w:val="24"/>
          <w:szCs w:val="24"/>
        </w:rPr>
        <w:t xml:space="preserve"> that relating to the enactment of national rules governing the process of appointing</w:t>
      </w:r>
      <w:r w:rsidR="00B21F39" w:rsidRPr="004E2E14">
        <w:rPr>
          <w:rFonts w:ascii="Times New Roman" w:hAnsi="Times New Roman" w:cs="Times New Roman"/>
          <w:sz w:val="24"/>
          <w:szCs w:val="24"/>
        </w:rPr>
        <w:t xml:space="preserve"> judges and subjecting that process to judicial review, the </w:t>
      </w:r>
      <w:r w:rsidR="00062F6C">
        <w:rPr>
          <w:rFonts w:ascii="Times New Roman" w:hAnsi="Times New Roman" w:cs="Times New Roman"/>
          <w:sz w:val="24"/>
          <w:szCs w:val="24"/>
        </w:rPr>
        <w:t>Member States</w:t>
      </w:r>
      <w:r w:rsidR="00B21F39" w:rsidRPr="004E2E14">
        <w:rPr>
          <w:rFonts w:ascii="Times New Roman" w:hAnsi="Times New Roman" w:cs="Times New Roman"/>
          <w:sz w:val="24"/>
          <w:szCs w:val="24"/>
        </w:rPr>
        <w:t xml:space="preserve"> are required to comply with their obligations deriving from EU law. </w:t>
      </w:r>
      <w:r w:rsidR="00550E51" w:rsidRPr="004E2E14">
        <w:rPr>
          <w:rFonts w:ascii="Times New Roman" w:hAnsi="Times New Roman" w:cs="Times New Roman"/>
          <w:sz w:val="24"/>
          <w:szCs w:val="24"/>
        </w:rPr>
        <w:t>The Treaty</w:t>
      </w:r>
      <w:r w:rsidR="00195055" w:rsidRPr="004E2E14">
        <w:rPr>
          <w:rFonts w:ascii="Times New Roman" w:hAnsi="Times New Roman" w:cs="Times New Roman"/>
          <w:sz w:val="24"/>
          <w:szCs w:val="24"/>
        </w:rPr>
        <w:t xml:space="preserve"> on European Union</w:t>
      </w:r>
      <w:r w:rsidR="00B21F39" w:rsidRPr="004E2E14">
        <w:rPr>
          <w:rFonts w:ascii="Times New Roman" w:hAnsi="Times New Roman" w:cs="Times New Roman"/>
          <w:sz w:val="24"/>
          <w:szCs w:val="24"/>
        </w:rPr>
        <w:t xml:space="preserve"> (</w:t>
      </w:r>
      <w:r w:rsidR="005F1CEE" w:rsidRPr="004E2E14">
        <w:rPr>
          <w:rFonts w:ascii="Times New Roman" w:hAnsi="Times New Roman" w:cs="Times New Roman"/>
          <w:sz w:val="24"/>
          <w:szCs w:val="24"/>
        </w:rPr>
        <w:t>A</w:t>
      </w:r>
      <w:r w:rsidR="00B21F39" w:rsidRPr="004E2E14">
        <w:rPr>
          <w:rFonts w:ascii="Times New Roman" w:hAnsi="Times New Roman" w:cs="Times New Roman"/>
          <w:sz w:val="24"/>
          <w:szCs w:val="24"/>
        </w:rPr>
        <w:t xml:space="preserve">rticle 19) </w:t>
      </w:r>
      <w:r w:rsidR="00550E51" w:rsidRPr="004E2E14">
        <w:rPr>
          <w:rFonts w:ascii="Times New Roman" w:hAnsi="Times New Roman" w:cs="Times New Roman"/>
          <w:sz w:val="24"/>
          <w:szCs w:val="24"/>
        </w:rPr>
        <w:t>provides</w:t>
      </w:r>
      <w:r w:rsidR="00B21F39" w:rsidRPr="004E2E14">
        <w:rPr>
          <w:rFonts w:ascii="Times New Roman" w:hAnsi="Times New Roman" w:cs="Times New Roman"/>
          <w:sz w:val="24"/>
          <w:szCs w:val="24"/>
        </w:rPr>
        <w:t xml:space="preserve"> for the </w:t>
      </w:r>
      <w:r w:rsidR="00062F6C">
        <w:rPr>
          <w:rFonts w:ascii="Times New Roman" w:hAnsi="Times New Roman" w:cs="Times New Roman"/>
          <w:sz w:val="24"/>
          <w:szCs w:val="24"/>
        </w:rPr>
        <w:t>Member States</w:t>
      </w:r>
      <w:r w:rsidR="00B21F39" w:rsidRPr="004E2E14">
        <w:rPr>
          <w:rFonts w:ascii="Times New Roman" w:hAnsi="Times New Roman" w:cs="Times New Roman"/>
          <w:sz w:val="24"/>
          <w:szCs w:val="24"/>
        </w:rPr>
        <w:t xml:space="preserve"> to establish a system of legal remedies and procedures ensuring individuals their right to effective legal protection in the fields covered by EU law. </w:t>
      </w:r>
      <w:r w:rsidR="00412EE4">
        <w:rPr>
          <w:rFonts w:ascii="Times New Roman" w:hAnsi="Times New Roman" w:cs="Times New Roman"/>
          <w:sz w:val="24"/>
          <w:szCs w:val="24"/>
        </w:rPr>
        <w:t>The</w:t>
      </w:r>
      <w:r w:rsidR="00B21F39" w:rsidRPr="004E2E14">
        <w:rPr>
          <w:rFonts w:ascii="Times New Roman" w:hAnsi="Times New Roman" w:cs="Times New Roman"/>
          <w:sz w:val="24"/>
          <w:szCs w:val="24"/>
        </w:rPr>
        <w:t xml:space="preserve"> principle of the effective judicial protection of individuals rights under EU law</w:t>
      </w:r>
      <w:r w:rsidR="001D0F68" w:rsidRPr="004E2E14">
        <w:rPr>
          <w:rFonts w:ascii="Times New Roman" w:hAnsi="Times New Roman" w:cs="Times New Roman"/>
          <w:sz w:val="24"/>
          <w:szCs w:val="24"/>
        </w:rPr>
        <w:t xml:space="preserve">, referred to in the above-mentioned </w:t>
      </w:r>
      <w:r w:rsidR="005F1CEE" w:rsidRPr="004E2E14">
        <w:rPr>
          <w:rFonts w:ascii="Times New Roman" w:hAnsi="Times New Roman" w:cs="Times New Roman"/>
          <w:sz w:val="24"/>
          <w:szCs w:val="24"/>
        </w:rPr>
        <w:t>a</w:t>
      </w:r>
      <w:r w:rsidR="001D0F68" w:rsidRPr="004E2E14">
        <w:rPr>
          <w:rFonts w:ascii="Times New Roman" w:hAnsi="Times New Roman" w:cs="Times New Roman"/>
          <w:sz w:val="24"/>
          <w:szCs w:val="24"/>
        </w:rPr>
        <w:t>rticle, is a</w:t>
      </w:r>
      <w:r w:rsidR="006A29EE" w:rsidRPr="004E2E14">
        <w:rPr>
          <w:rFonts w:ascii="Times New Roman" w:hAnsi="Times New Roman" w:cs="Times New Roman"/>
          <w:sz w:val="24"/>
          <w:szCs w:val="24"/>
        </w:rPr>
        <w:t>n</w:t>
      </w:r>
      <w:r w:rsidR="001D0F68" w:rsidRPr="004E2E14">
        <w:rPr>
          <w:rFonts w:ascii="Times New Roman" w:hAnsi="Times New Roman" w:cs="Times New Roman"/>
          <w:sz w:val="24"/>
          <w:szCs w:val="24"/>
        </w:rPr>
        <w:t xml:space="preserve"> EU general principle, stemming from the constitutional traditions common to the </w:t>
      </w:r>
      <w:r w:rsidR="00062F6C">
        <w:rPr>
          <w:rFonts w:ascii="Times New Roman" w:hAnsi="Times New Roman" w:cs="Times New Roman"/>
          <w:sz w:val="24"/>
          <w:szCs w:val="24"/>
        </w:rPr>
        <w:t>Member States</w:t>
      </w:r>
      <w:r w:rsidR="001D0F68" w:rsidRPr="004E2E14">
        <w:rPr>
          <w:rFonts w:ascii="Times New Roman" w:hAnsi="Times New Roman" w:cs="Times New Roman"/>
          <w:sz w:val="24"/>
          <w:szCs w:val="24"/>
        </w:rPr>
        <w:t xml:space="preserve">, which has been enshrined in </w:t>
      </w:r>
      <w:r w:rsidR="005F1CEE" w:rsidRPr="004E2E14">
        <w:rPr>
          <w:rFonts w:ascii="Times New Roman" w:hAnsi="Times New Roman" w:cs="Times New Roman"/>
          <w:sz w:val="24"/>
          <w:szCs w:val="24"/>
        </w:rPr>
        <w:t>A</w:t>
      </w:r>
      <w:r w:rsidR="001D0F68" w:rsidRPr="004E2E14">
        <w:rPr>
          <w:rFonts w:ascii="Times New Roman" w:hAnsi="Times New Roman" w:cs="Times New Roman"/>
          <w:sz w:val="24"/>
          <w:szCs w:val="24"/>
        </w:rPr>
        <w:t xml:space="preserve">rticle 6 </w:t>
      </w:r>
      <w:r w:rsidR="00241E86" w:rsidRPr="004E2E14">
        <w:rPr>
          <w:rFonts w:ascii="Times New Roman" w:hAnsi="Times New Roman" w:cs="Times New Roman"/>
          <w:sz w:val="24"/>
          <w:szCs w:val="24"/>
        </w:rPr>
        <w:t xml:space="preserve">(right of access to court) </w:t>
      </w:r>
      <w:r w:rsidR="001D0F68" w:rsidRPr="004E2E14">
        <w:rPr>
          <w:rFonts w:ascii="Times New Roman" w:hAnsi="Times New Roman" w:cs="Times New Roman"/>
          <w:sz w:val="24"/>
          <w:szCs w:val="24"/>
        </w:rPr>
        <w:t xml:space="preserve">and 13 </w:t>
      </w:r>
      <w:r w:rsidR="00241E86" w:rsidRPr="004E2E14">
        <w:rPr>
          <w:rFonts w:ascii="Times New Roman" w:hAnsi="Times New Roman" w:cs="Times New Roman"/>
          <w:sz w:val="24"/>
          <w:szCs w:val="24"/>
        </w:rPr>
        <w:t xml:space="preserve">(right to an effective remedy) </w:t>
      </w:r>
      <w:r w:rsidR="002F5AD2" w:rsidRPr="00A06821">
        <w:rPr>
          <w:rFonts w:ascii="Times New Roman" w:hAnsi="Times New Roman" w:cs="Times New Roman"/>
        </w:rPr>
        <w:t>ECHR</w:t>
      </w:r>
      <w:r w:rsidR="006A29EE" w:rsidRPr="004E2E14">
        <w:rPr>
          <w:rFonts w:ascii="Times New Roman" w:hAnsi="Times New Roman" w:cs="Times New Roman"/>
          <w:sz w:val="24"/>
          <w:szCs w:val="24"/>
        </w:rPr>
        <w:t>.</w:t>
      </w:r>
      <w:r w:rsidR="00D415FC" w:rsidRPr="004E2E14">
        <w:rPr>
          <w:rStyle w:val="Refdenotaalpie"/>
          <w:rFonts w:ascii="Times New Roman" w:hAnsi="Times New Roman" w:cs="Times New Roman"/>
          <w:sz w:val="24"/>
          <w:szCs w:val="24"/>
        </w:rPr>
        <w:footnoteReference w:id="73"/>
      </w:r>
      <w:r w:rsidR="00EF0428" w:rsidRPr="004E2E14">
        <w:rPr>
          <w:rFonts w:ascii="Times New Roman" w:hAnsi="Times New Roman" w:cs="Times New Roman"/>
          <w:sz w:val="24"/>
          <w:szCs w:val="24"/>
        </w:rPr>
        <w:t xml:space="preserve"> </w:t>
      </w:r>
      <w:r w:rsidR="006A29EE" w:rsidRPr="004E2E14">
        <w:rPr>
          <w:rFonts w:ascii="Times New Roman" w:hAnsi="Times New Roman" w:cs="Times New Roman"/>
          <w:sz w:val="24"/>
          <w:szCs w:val="24"/>
        </w:rPr>
        <w:t xml:space="preserve">To ensure that courts </w:t>
      </w:r>
      <w:r w:rsidR="00D22450" w:rsidRPr="004E2E14">
        <w:rPr>
          <w:rFonts w:ascii="Times New Roman" w:hAnsi="Times New Roman" w:cs="Times New Roman"/>
          <w:sz w:val="24"/>
          <w:szCs w:val="24"/>
        </w:rPr>
        <w:t>can</w:t>
      </w:r>
      <w:r w:rsidR="006A29EE" w:rsidRPr="004E2E14">
        <w:rPr>
          <w:rFonts w:ascii="Times New Roman" w:hAnsi="Times New Roman" w:cs="Times New Roman"/>
          <w:sz w:val="24"/>
          <w:szCs w:val="24"/>
        </w:rPr>
        <w:t xml:space="preserve"> </w:t>
      </w:r>
      <w:r w:rsidR="00E76B18" w:rsidRPr="004E2E14">
        <w:rPr>
          <w:rFonts w:ascii="Times New Roman" w:hAnsi="Times New Roman" w:cs="Times New Roman"/>
          <w:sz w:val="24"/>
          <w:szCs w:val="24"/>
        </w:rPr>
        <w:t>guarantee</w:t>
      </w:r>
      <w:r w:rsidR="006A29EE" w:rsidRPr="004E2E14">
        <w:rPr>
          <w:rFonts w:ascii="Times New Roman" w:hAnsi="Times New Roman" w:cs="Times New Roman"/>
          <w:sz w:val="24"/>
          <w:szCs w:val="24"/>
        </w:rPr>
        <w:t xml:space="preserve"> effective legal protection</w:t>
      </w:r>
      <w:r w:rsidR="00412EE4">
        <w:rPr>
          <w:rFonts w:ascii="Times New Roman" w:hAnsi="Times New Roman" w:cs="Times New Roman"/>
          <w:sz w:val="24"/>
          <w:szCs w:val="24"/>
        </w:rPr>
        <w:t>,</w:t>
      </w:r>
      <w:r w:rsidR="006A29EE" w:rsidRPr="004E2E14">
        <w:rPr>
          <w:rFonts w:ascii="Times New Roman" w:hAnsi="Times New Roman" w:cs="Times New Roman"/>
          <w:sz w:val="24"/>
          <w:szCs w:val="24"/>
        </w:rPr>
        <w:t xml:space="preserve"> it is essential to maintain </w:t>
      </w:r>
      <w:r w:rsidR="00412EE4">
        <w:rPr>
          <w:rFonts w:ascii="Times New Roman" w:hAnsi="Times New Roman" w:cs="Times New Roman"/>
          <w:sz w:val="24"/>
          <w:szCs w:val="24"/>
        </w:rPr>
        <w:t>their</w:t>
      </w:r>
      <w:r w:rsidR="006A29EE" w:rsidRPr="004E2E14">
        <w:rPr>
          <w:rFonts w:ascii="Times New Roman" w:hAnsi="Times New Roman" w:cs="Times New Roman"/>
          <w:sz w:val="24"/>
          <w:szCs w:val="24"/>
        </w:rPr>
        <w:t xml:space="preserve"> independence</w:t>
      </w:r>
      <w:r w:rsidR="00D22450" w:rsidRPr="004E2E14">
        <w:rPr>
          <w:rFonts w:ascii="Times New Roman" w:hAnsi="Times New Roman" w:cs="Times New Roman"/>
          <w:sz w:val="24"/>
          <w:szCs w:val="24"/>
        </w:rPr>
        <w:t xml:space="preserve">. That is confirmed by </w:t>
      </w:r>
      <w:r w:rsidR="005F1CEE" w:rsidRPr="004E2E14">
        <w:rPr>
          <w:rFonts w:ascii="Times New Roman" w:hAnsi="Times New Roman" w:cs="Times New Roman"/>
          <w:sz w:val="24"/>
          <w:szCs w:val="24"/>
        </w:rPr>
        <w:t>A</w:t>
      </w:r>
      <w:r w:rsidR="00D22450" w:rsidRPr="004E2E14">
        <w:rPr>
          <w:rFonts w:ascii="Times New Roman" w:hAnsi="Times New Roman" w:cs="Times New Roman"/>
          <w:sz w:val="24"/>
          <w:szCs w:val="24"/>
        </w:rPr>
        <w:t>rticle 47</w:t>
      </w:r>
      <w:r w:rsidR="00380597">
        <w:rPr>
          <w:rFonts w:ascii="Times New Roman" w:hAnsi="Times New Roman" w:cs="Times New Roman"/>
          <w:sz w:val="24"/>
          <w:szCs w:val="24"/>
        </w:rPr>
        <w:t>(</w:t>
      </w:r>
      <w:r w:rsidR="00D22450" w:rsidRPr="004E2E14">
        <w:rPr>
          <w:rFonts w:ascii="Times New Roman" w:hAnsi="Times New Roman" w:cs="Times New Roman"/>
          <w:sz w:val="24"/>
          <w:szCs w:val="24"/>
        </w:rPr>
        <w:t>2</w:t>
      </w:r>
      <w:r w:rsidR="00380597">
        <w:rPr>
          <w:rFonts w:ascii="Times New Roman" w:hAnsi="Times New Roman" w:cs="Times New Roman"/>
          <w:sz w:val="24"/>
          <w:szCs w:val="24"/>
        </w:rPr>
        <w:t>)</w:t>
      </w:r>
      <w:r w:rsidR="00D22450" w:rsidRPr="004E2E14">
        <w:rPr>
          <w:rFonts w:ascii="Times New Roman" w:hAnsi="Times New Roman" w:cs="Times New Roman"/>
          <w:sz w:val="24"/>
          <w:szCs w:val="24"/>
        </w:rPr>
        <w:t xml:space="preserve"> Charter</w:t>
      </w:r>
      <w:r w:rsidR="005F1CEE" w:rsidRPr="004E2E14">
        <w:rPr>
          <w:rFonts w:ascii="Times New Roman" w:hAnsi="Times New Roman" w:cs="Times New Roman"/>
          <w:sz w:val="24"/>
          <w:szCs w:val="24"/>
        </w:rPr>
        <w:t xml:space="preserve">, </w:t>
      </w:r>
      <w:r w:rsidR="00D22450" w:rsidRPr="004E2E14">
        <w:rPr>
          <w:rFonts w:ascii="Times New Roman" w:hAnsi="Times New Roman" w:cs="Times New Roman"/>
          <w:sz w:val="24"/>
          <w:szCs w:val="24"/>
        </w:rPr>
        <w:t xml:space="preserve">which refers to </w:t>
      </w:r>
      <w:r w:rsidR="00D22450" w:rsidRPr="004E2E14">
        <w:rPr>
          <w:rFonts w:ascii="Times New Roman" w:hAnsi="Times New Roman" w:cs="Times New Roman"/>
          <w:sz w:val="24"/>
          <w:szCs w:val="24"/>
        </w:rPr>
        <w:lastRenderedPageBreak/>
        <w:t xml:space="preserve">access to an “independent” </w:t>
      </w:r>
      <w:r w:rsidR="00346018" w:rsidRPr="004E2E14">
        <w:rPr>
          <w:rFonts w:ascii="Times New Roman" w:hAnsi="Times New Roman" w:cs="Times New Roman"/>
          <w:sz w:val="24"/>
          <w:szCs w:val="24"/>
        </w:rPr>
        <w:t>court</w:t>
      </w:r>
      <w:r w:rsidR="00D22450" w:rsidRPr="004E2E14">
        <w:rPr>
          <w:rFonts w:ascii="Times New Roman" w:hAnsi="Times New Roman" w:cs="Times New Roman"/>
          <w:sz w:val="24"/>
          <w:szCs w:val="24"/>
        </w:rPr>
        <w:t xml:space="preserve"> as one of the requirements linked to the fundamental right to an effective</w:t>
      </w:r>
      <w:r w:rsidR="00346018" w:rsidRPr="004E2E14">
        <w:rPr>
          <w:rFonts w:ascii="Times New Roman" w:hAnsi="Times New Roman" w:cs="Times New Roman"/>
          <w:sz w:val="24"/>
          <w:szCs w:val="24"/>
        </w:rPr>
        <w:t xml:space="preserve"> remedy.</w:t>
      </w:r>
      <w:r w:rsidR="00F53C9A" w:rsidRPr="004E2E14">
        <w:rPr>
          <w:rStyle w:val="Refdenotaalpie"/>
          <w:rFonts w:ascii="Times New Roman" w:hAnsi="Times New Roman" w:cs="Times New Roman"/>
          <w:sz w:val="24"/>
          <w:szCs w:val="24"/>
        </w:rPr>
        <w:footnoteReference w:id="74"/>
      </w:r>
      <w:r w:rsidR="00D22450" w:rsidRPr="004E2E14">
        <w:rPr>
          <w:rFonts w:ascii="Times New Roman" w:hAnsi="Times New Roman" w:cs="Times New Roman"/>
          <w:sz w:val="24"/>
          <w:szCs w:val="24"/>
        </w:rPr>
        <w:t xml:space="preserve"> </w:t>
      </w:r>
    </w:p>
    <w:p w14:paraId="7C639249" w14:textId="7393ED97" w:rsidR="00164C3B" w:rsidRPr="004E2E14" w:rsidRDefault="00476C42"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Accor</w:t>
      </w:r>
      <w:r w:rsidR="000A47D3">
        <w:rPr>
          <w:rFonts w:ascii="Times New Roman" w:hAnsi="Times New Roman" w:cs="Times New Roman"/>
          <w:sz w:val="24"/>
          <w:szCs w:val="24"/>
        </w:rPr>
        <w:t xml:space="preserve">ding </w:t>
      </w:r>
      <w:r w:rsidRPr="004E2E14">
        <w:rPr>
          <w:rFonts w:ascii="Times New Roman" w:hAnsi="Times New Roman" w:cs="Times New Roman"/>
          <w:sz w:val="24"/>
          <w:szCs w:val="24"/>
        </w:rPr>
        <w:t>to the EC</w:t>
      </w:r>
      <w:r w:rsidR="00855F6C" w:rsidRPr="004E2E14">
        <w:rPr>
          <w:rFonts w:ascii="Times New Roman" w:hAnsi="Times New Roman" w:cs="Times New Roman"/>
          <w:sz w:val="24"/>
          <w:szCs w:val="24"/>
        </w:rPr>
        <w:t>t</w:t>
      </w:r>
      <w:r w:rsidRPr="004E2E14">
        <w:rPr>
          <w:rFonts w:ascii="Times New Roman" w:hAnsi="Times New Roman" w:cs="Times New Roman"/>
          <w:sz w:val="24"/>
          <w:szCs w:val="24"/>
        </w:rPr>
        <w:t>HR</w:t>
      </w:r>
      <w:r w:rsidR="00EF0428" w:rsidRPr="004E2E14">
        <w:rPr>
          <w:rStyle w:val="Refdenotaalpie"/>
          <w:rFonts w:ascii="Times New Roman" w:hAnsi="Times New Roman" w:cs="Times New Roman"/>
          <w:sz w:val="24"/>
          <w:szCs w:val="24"/>
        </w:rPr>
        <w:footnoteReference w:id="75"/>
      </w:r>
      <w:r w:rsidRPr="004E2E14">
        <w:rPr>
          <w:rFonts w:ascii="Times New Roman" w:hAnsi="Times New Roman" w:cs="Times New Roman"/>
          <w:sz w:val="24"/>
          <w:szCs w:val="24"/>
        </w:rPr>
        <w:t xml:space="preserve">, the </w:t>
      </w:r>
      <w:r w:rsidR="00550E51" w:rsidRPr="004E2E14">
        <w:rPr>
          <w:rFonts w:ascii="Times New Roman" w:hAnsi="Times New Roman" w:cs="Times New Roman"/>
          <w:sz w:val="24"/>
          <w:szCs w:val="24"/>
        </w:rPr>
        <w:t>organization</w:t>
      </w:r>
      <w:r w:rsidRPr="004E2E14">
        <w:rPr>
          <w:rFonts w:ascii="Times New Roman" w:hAnsi="Times New Roman" w:cs="Times New Roman"/>
          <w:sz w:val="24"/>
          <w:szCs w:val="24"/>
        </w:rPr>
        <w:t xml:space="preserve"> of the judicial system</w:t>
      </w:r>
      <w:r w:rsidR="00177880" w:rsidRPr="004E2E14">
        <w:rPr>
          <w:rFonts w:ascii="Times New Roman" w:hAnsi="Times New Roman" w:cs="Times New Roman"/>
          <w:sz w:val="24"/>
          <w:szCs w:val="24"/>
        </w:rPr>
        <w:t>, not only the legal basis for the very existence of a tribunal, but also the composition of the bench in each case,</w:t>
      </w:r>
      <w:r w:rsidRPr="004E2E14">
        <w:rPr>
          <w:rFonts w:ascii="Times New Roman" w:hAnsi="Times New Roman" w:cs="Times New Roman"/>
          <w:sz w:val="24"/>
          <w:szCs w:val="24"/>
        </w:rPr>
        <w:t xml:space="preserve"> should not depend on the discretion of the executive</w:t>
      </w:r>
      <w:r w:rsidR="004C16F4" w:rsidRPr="004E2E14">
        <w:rPr>
          <w:rFonts w:ascii="Times New Roman" w:hAnsi="Times New Roman" w:cs="Times New Roman"/>
          <w:sz w:val="24"/>
          <w:szCs w:val="24"/>
        </w:rPr>
        <w:t xml:space="preserve"> </w:t>
      </w:r>
      <w:r w:rsidR="00177880" w:rsidRPr="004E2E14">
        <w:rPr>
          <w:rFonts w:ascii="Times New Roman" w:hAnsi="Times New Roman" w:cs="Times New Roman"/>
          <w:sz w:val="24"/>
          <w:szCs w:val="24"/>
        </w:rPr>
        <w:t>power and</w:t>
      </w:r>
      <w:r w:rsidR="00295228" w:rsidRPr="004E2E14">
        <w:rPr>
          <w:rFonts w:ascii="Times New Roman" w:hAnsi="Times New Roman" w:cs="Times New Roman"/>
          <w:sz w:val="24"/>
          <w:szCs w:val="24"/>
        </w:rPr>
        <w:t xml:space="preserve"> should </w:t>
      </w:r>
      <w:r w:rsidR="00177880" w:rsidRPr="004E2E14">
        <w:rPr>
          <w:rFonts w:ascii="Times New Roman" w:hAnsi="Times New Roman" w:cs="Times New Roman"/>
          <w:sz w:val="24"/>
          <w:szCs w:val="24"/>
        </w:rPr>
        <w:t xml:space="preserve">rather </w:t>
      </w:r>
      <w:r w:rsidR="00295228" w:rsidRPr="004E2E14">
        <w:rPr>
          <w:rFonts w:ascii="Times New Roman" w:hAnsi="Times New Roman" w:cs="Times New Roman"/>
          <w:sz w:val="24"/>
          <w:szCs w:val="24"/>
        </w:rPr>
        <w:t xml:space="preserve">be </w:t>
      </w:r>
      <w:r w:rsidRPr="004E2E14">
        <w:rPr>
          <w:rFonts w:ascii="Times New Roman" w:hAnsi="Times New Roman" w:cs="Times New Roman"/>
          <w:sz w:val="24"/>
          <w:szCs w:val="24"/>
        </w:rPr>
        <w:t xml:space="preserve">regulated by law emanating from the legislature in compliance with the rules governing its jurisdiction. That </w:t>
      </w:r>
      <w:r w:rsidR="00412EE4">
        <w:rPr>
          <w:rFonts w:ascii="Times New Roman" w:hAnsi="Times New Roman" w:cs="Times New Roman"/>
          <w:sz w:val="24"/>
          <w:szCs w:val="24"/>
        </w:rPr>
        <w:t>complies</w:t>
      </w:r>
      <w:r w:rsidR="00177880" w:rsidRPr="004E2E14">
        <w:rPr>
          <w:rFonts w:ascii="Times New Roman" w:hAnsi="Times New Roman" w:cs="Times New Roman"/>
          <w:sz w:val="24"/>
          <w:szCs w:val="24"/>
        </w:rPr>
        <w:t xml:space="preserve"> with </w:t>
      </w:r>
      <w:r w:rsidRPr="004E2E14">
        <w:rPr>
          <w:rFonts w:ascii="Times New Roman" w:hAnsi="Times New Roman" w:cs="Times New Roman"/>
          <w:sz w:val="24"/>
          <w:szCs w:val="24"/>
        </w:rPr>
        <w:t xml:space="preserve">the principle of the </w:t>
      </w:r>
      <w:r w:rsidR="00062F6C">
        <w:rPr>
          <w:rFonts w:ascii="Times New Roman" w:hAnsi="Times New Roman" w:cs="Times New Roman"/>
          <w:sz w:val="24"/>
          <w:szCs w:val="24"/>
        </w:rPr>
        <w:t>Rule of Law</w:t>
      </w:r>
      <w:r w:rsidR="00177880" w:rsidRPr="004E2E14">
        <w:rPr>
          <w:rFonts w:ascii="Times New Roman" w:hAnsi="Times New Roman" w:cs="Times New Roman"/>
          <w:sz w:val="24"/>
          <w:szCs w:val="24"/>
        </w:rPr>
        <w:t>.</w:t>
      </w:r>
    </w:p>
    <w:p w14:paraId="0083C14E" w14:textId="1AADA6FE" w:rsidR="00476C42" w:rsidRPr="004E2E14" w:rsidRDefault="007308CE"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In the same vein, the </w:t>
      </w:r>
      <w:r w:rsidR="00566BFF" w:rsidRPr="00566BFF">
        <w:rPr>
          <w:rFonts w:ascii="Times New Roman" w:hAnsi="Times New Roman" w:cs="Times New Roman"/>
          <w:sz w:val="24"/>
          <w:szCs w:val="24"/>
        </w:rPr>
        <w:t>CJEU</w:t>
      </w:r>
      <w:r w:rsidR="00476C42" w:rsidRPr="004E2E14">
        <w:rPr>
          <w:rFonts w:ascii="Times New Roman" w:hAnsi="Times New Roman" w:cs="Times New Roman"/>
          <w:sz w:val="24"/>
          <w:szCs w:val="24"/>
        </w:rPr>
        <w:t xml:space="preserve"> held, that an irregularity committed during the appointment of judges within the judicial system entails an infringement of the requirement that a tribunal </w:t>
      </w:r>
      <w:r w:rsidR="00EF0428" w:rsidRPr="004E2E14">
        <w:rPr>
          <w:rFonts w:ascii="Times New Roman" w:hAnsi="Times New Roman" w:cs="Times New Roman"/>
          <w:sz w:val="24"/>
          <w:szCs w:val="24"/>
        </w:rPr>
        <w:t xml:space="preserve">must </w:t>
      </w:r>
      <w:r w:rsidR="00476C42" w:rsidRPr="004E2E14">
        <w:rPr>
          <w:rFonts w:ascii="Times New Roman" w:hAnsi="Times New Roman" w:cs="Times New Roman"/>
          <w:sz w:val="24"/>
          <w:szCs w:val="24"/>
        </w:rPr>
        <w:t xml:space="preserve">be established by law </w:t>
      </w:r>
      <w:r w:rsidR="002907BA" w:rsidRPr="004E2E14">
        <w:rPr>
          <w:rFonts w:ascii="Times New Roman" w:hAnsi="Times New Roman" w:cs="Times New Roman"/>
          <w:sz w:val="24"/>
          <w:szCs w:val="24"/>
        </w:rPr>
        <w:t>(</w:t>
      </w:r>
      <w:r w:rsidR="005F1CEE" w:rsidRPr="004E2E14">
        <w:rPr>
          <w:rFonts w:ascii="Times New Roman" w:hAnsi="Times New Roman" w:cs="Times New Roman"/>
          <w:sz w:val="24"/>
          <w:szCs w:val="24"/>
        </w:rPr>
        <w:t>A</w:t>
      </w:r>
      <w:r w:rsidR="002907BA" w:rsidRPr="004E2E14">
        <w:rPr>
          <w:rFonts w:ascii="Times New Roman" w:hAnsi="Times New Roman" w:cs="Times New Roman"/>
          <w:sz w:val="24"/>
          <w:szCs w:val="24"/>
        </w:rPr>
        <w:t>rticle 47 Chart</w:t>
      </w:r>
      <w:r w:rsidR="00380597">
        <w:rPr>
          <w:rFonts w:ascii="Times New Roman" w:hAnsi="Times New Roman" w:cs="Times New Roman"/>
          <w:sz w:val="24"/>
          <w:szCs w:val="24"/>
        </w:rPr>
        <w:t>er</w:t>
      </w:r>
      <w:r w:rsidR="002907BA" w:rsidRPr="004E2E14">
        <w:rPr>
          <w:rFonts w:ascii="Times New Roman" w:hAnsi="Times New Roman" w:cs="Times New Roman"/>
          <w:sz w:val="24"/>
          <w:szCs w:val="24"/>
        </w:rPr>
        <w:t xml:space="preserve">), </w:t>
      </w:r>
      <w:r w:rsidR="00476C42" w:rsidRPr="004E2E14">
        <w:rPr>
          <w:rFonts w:ascii="Times New Roman" w:hAnsi="Times New Roman" w:cs="Times New Roman"/>
          <w:sz w:val="24"/>
          <w:szCs w:val="24"/>
        </w:rPr>
        <w:t>particularly when that irregularity is of such a kind and such gravity as to create a real risk that other branches of the State, could exercise undue discretion undermining the integrity of the outcome of the appointment process and thus give rise to a reasonable doubt as to the independence and the impartiality of the judge or judges concerned.</w:t>
      </w:r>
      <w:r w:rsidR="002907BA" w:rsidRPr="004E2E14">
        <w:rPr>
          <w:rStyle w:val="Refdenotaalpie"/>
          <w:rFonts w:ascii="Times New Roman" w:hAnsi="Times New Roman" w:cs="Times New Roman"/>
          <w:sz w:val="24"/>
          <w:szCs w:val="24"/>
        </w:rPr>
        <w:footnoteReference w:id="76"/>
      </w:r>
      <w:r w:rsidR="00476C42" w:rsidRPr="004E2E14">
        <w:rPr>
          <w:rFonts w:ascii="Times New Roman" w:hAnsi="Times New Roman" w:cs="Times New Roman"/>
          <w:sz w:val="24"/>
          <w:szCs w:val="24"/>
        </w:rPr>
        <w:t xml:space="preserve"> </w:t>
      </w:r>
    </w:p>
    <w:p w14:paraId="211DB253" w14:textId="734AEABB" w:rsidR="002A5DBC" w:rsidRPr="004E2E14" w:rsidRDefault="00973AD3" w:rsidP="001D12B5">
      <w:pPr>
        <w:pStyle w:val="Prrafodelista"/>
        <w:spacing w:after="0" w:line="240" w:lineRule="auto"/>
        <w:ind w:left="0"/>
        <w:jc w:val="both"/>
        <w:rPr>
          <w:rFonts w:ascii="Times New Roman" w:hAnsi="Times New Roman" w:cs="Times New Roman"/>
          <w:sz w:val="24"/>
          <w:szCs w:val="24"/>
        </w:rPr>
      </w:pPr>
      <w:r w:rsidRPr="004E2E14">
        <w:rPr>
          <w:rFonts w:ascii="Times New Roman" w:hAnsi="Times New Roman" w:cs="Times New Roman"/>
          <w:sz w:val="24"/>
          <w:szCs w:val="24"/>
        </w:rPr>
        <w:t xml:space="preserve">These requirements stem from the need to ensure respect for the principles of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and the separation of powers, based on the imperative to preserve the confidence that the judiciary must inspire in individuals and its independence </w:t>
      </w:r>
      <w:r w:rsidR="00412EE4">
        <w:rPr>
          <w:rFonts w:ascii="Times New Roman" w:hAnsi="Times New Roman" w:cs="Times New Roman"/>
          <w:sz w:val="24"/>
          <w:szCs w:val="24"/>
        </w:rPr>
        <w:t>from</w:t>
      </w:r>
      <w:r w:rsidRPr="004E2E14">
        <w:rPr>
          <w:rFonts w:ascii="Times New Roman" w:hAnsi="Times New Roman" w:cs="Times New Roman"/>
          <w:sz w:val="24"/>
          <w:szCs w:val="24"/>
        </w:rPr>
        <w:t xml:space="preserve"> other powers of the State</w:t>
      </w:r>
      <w:r w:rsidR="00BF1ECA" w:rsidRPr="004E2E14">
        <w:rPr>
          <w:rFonts w:ascii="Times New Roman" w:hAnsi="Times New Roman" w:cs="Times New Roman"/>
          <w:sz w:val="24"/>
          <w:szCs w:val="24"/>
        </w:rPr>
        <w:t xml:space="preserve">, </w:t>
      </w:r>
      <w:r w:rsidR="00486F86" w:rsidRPr="004E2E14">
        <w:rPr>
          <w:rFonts w:ascii="Times New Roman" w:hAnsi="Times New Roman" w:cs="Times New Roman"/>
          <w:sz w:val="24"/>
          <w:szCs w:val="24"/>
        </w:rPr>
        <w:t>particular</w:t>
      </w:r>
      <w:r w:rsidR="002907BA" w:rsidRPr="004E2E14">
        <w:rPr>
          <w:rFonts w:ascii="Times New Roman" w:hAnsi="Times New Roman" w:cs="Times New Roman"/>
          <w:sz w:val="24"/>
          <w:szCs w:val="24"/>
        </w:rPr>
        <w:t>ly</w:t>
      </w:r>
      <w:r w:rsidR="00486F86" w:rsidRPr="004E2E14">
        <w:rPr>
          <w:rFonts w:ascii="Times New Roman" w:hAnsi="Times New Roman" w:cs="Times New Roman"/>
          <w:sz w:val="24"/>
          <w:szCs w:val="24"/>
        </w:rPr>
        <w:t xml:space="preserve"> </w:t>
      </w:r>
      <w:r w:rsidR="00412EE4">
        <w:rPr>
          <w:rFonts w:ascii="Times New Roman" w:hAnsi="Times New Roman" w:cs="Times New Roman"/>
          <w:sz w:val="24"/>
          <w:szCs w:val="24"/>
        </w:rPr>
        <w:t>concerning</w:t>
      </w:r>
      <w:r w:rsidR="00486F86" w:rsidRPr="004E2E14">
        <w:rPr>
          <w:rFonts w:ascii="Times New Roman" w:hAnsi="Times New Roman" w:cs="Times New Roman"/>
          <w:sz w:val="24"/>
          <w:szCs w:val="24"/>
        </w:rPr>
        <w:t xml:space="preserve"> the legislative and executive.</w:t>
      </w:r>
      <w:r w:rsidR="00DD1BC9" w:rsidRPr="004E2E14">
        <w:rPr>
          <w:rStyle w:val="Refdenotaalpie"/>
          <w:rFonts w:ascii="Times New Roman" w:hAnsi="Times New Roman" w:cs="Times New Roman"/>
          <w:sz w:val="24"/>
          <w:szCs w:val="24"/>
        </w:rPr>
        <w:footnoteReference w:id="77"/>
      </w:r>
      <w:r w:rsidR="00C31A1B" w:rsidRPr="004E2E14">
        <w:rPr>
          <w:rFonts w:ascii="Times New Roman" w:hAnsi="Times New Roman" w:cs="Times New Roman"/>
          <w:sz w:val="24"/>
          <w:szCs w:val="24"/>
        </w:rPr>
        <w:t xml:space="preserve"> While the model of checks and balances may vary between </w:t>
      </w:r>
      <w:r w:rsidR="00062F6C">
        <w:rPr>
          <w:rFonts w:ascii="Times New Roman" w:hAnsi="Times New Roman" w:cs="Times New Roman"/>
          <w:sz w:val="24"/>
          <w:szCs w:val="24"/>
        </w:rPr>
        <w:t>Member States</w:t>
      </w:r>
      <w:r w:rsidR="00C31A1B" w:rsidRPr="004E2E14">
        <w:rPr>
          <w:rFonts w:ascii="Times New Roman" w:hAnsi="Times New Roman" w:cs="Times New Roman"/>
          <w:sz w:val="24"/>
          <w:szCs w:val="24"/>
        </w:rPr>
        <w:t xml:space="preserve"> according to their legal and constitutional traditions, they all need to be subject to such a system to ensure respect for the </w:t>
      </w:r>
      <w:r w:rsidR="00062F6C">
        <w:rPr>
          <w:rFonts w:ascii="Times New Roman" w:hAnsi="Times New Roman" w:cs="Times New Roman"/>
          <w:sz w:val="24"/>
          <w:szCs w:val="24"/>
        </w:rPr>
        <w:t>Rule of Law</w:t>
      </w:r>
      <w:r w:rsidR="00C31A1B" w:rsidRPr="004E2E14">
        <w:rPr>
          <w:rFonts w:ascii="Times New Roman" w:hAnsi="Times New Roman" w:cs="Times New Roman"/>
          <w:sz w:val="24"/>
          <w:szCs w:val="24"/>
        </w:rPr>
        <w:t xml:space="preserve"> and democratic norms.</w:t>
      </w:r>
      <w:r w:rsidR="00C31A1B" w:rsidRPr="004E2E14">
        <w:rPr>
          <w:rStyle w:val="Refdenotaalpie"/>
          <w:rFonts w:ascii="Times New Roman" w:hAnsi="Times New Roman" w:cs="Times New Roman"/>
          <w:sz w:val="24"/>
          <w:szCs w:val="24"/>
        </w:rPr>
        <w:footnoteReference w:id="78"/>
      </w:r>
    </w:p>
    <w:p w14:paraId="18BD9C33" w14:textId="536ADA0B" w:rsidR="00164C3B" w:rsidRPr="004E2E14" w:rsidRDefault="00AF70B7"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In that regard, it is important to note that, </w:t>
      </w:r>
      <w:r w:rsidR="00412EE4">
        <w:rPr>
          <w:rFonts w:ascii="Times New Roman" w:hAnsi="Times New Roman" w:cs="Times New Roman"/>
          <w:sz w:val="24"/>
          <w:szCs w:val="24"/>
        </w:rPr>
        <w:t>by</w:t>
      </w:r>
      <w:r w:rsidRPr="004E2E14">
        <w:rPr>
          <w:rFonts w:ascii="Times New Roman" w:hAnsi="Times New Roman" w:cs="Times New Roman"/>
          <w:sz w:val="24"/>
          <w:szCs w:val="24"/>
        </w:rPr>
        <w:t xml:space="preserve"> settled </w:t>
      </w:r>
      <w:r w:rsidR="00550E51" w:rsidRPr="004E2E14">
        <w:rPr>
          <w:rFonts w:ascii="Times New Roman" w:hAnsi="Times New Roman" w:cs="Times New Roman"/>
          <w:sz w:val="24"/>
          <w:szCs w:val="24"/>
        </w:rPr>
        <w:t>case law</w:t>
      </w:r>
      <w:r w:rsidR="004C55DC" w:rsidRPr="004E2E14">
        <w:rPr>
          <w:rFonts w:ascii="Times New Roman" w:hAnsi="Times New Roman" w:cs="Times New Roman"/>
          <w:sz w:val="24"/>
          <w:szCs w:val="24"/>
        </w:rPr>
        <w:t>,</w:t>
      </w:r>
      <w:r w:rsidRPr="004E2E14">
        <w:rPr>
          <w:rFonts w:ascii="Times New Roman" w:hAnsi="Times New Roman" w:cs="Times New Roman"/>
          <w:sz w:val="24"/>
          <w:szCs w:val="24"/>
        </w:rPr>
        <w:t xml:space="preserve"> the principle of the primacy of EU law establishes the pre-eminence of EU law over the law of the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That principle therefore requires all Member State bodies to give full effect to the various EU provisions, and the law of the </w:t>
      </w:r>
      <w:r w:rsidR="00062F6C">
        <w:rPr>
          <w:rFonts w:ascii="Times New Roman" w:hAnsi="Times New Roman" w:cs="Times New Roman"/>
          <w:sz w:val="24"/>
          <w:szCs w:val="24"/>
        </w:rPr>
        <w:t>Member States</w:t>
      </w:r>
      <w:r w:rsidR="00001C19" w:rsidRPr="004E2E14">
        <w:rPr>
          <w:rFonts w:ascii="Times New Roman" w:hAnsi="Times New Roman" w:cs="Times New Roman"/>
          <w:sz w:val="24"/>
          <w:szCs w:val="24"/>
        </w:rPr>
        <w:t>, including constitutional provisions,</w:t>
      </w:r>
      <w:r w:rsidRPr="004E2E14">
        <w:rPr>
          <w:rFonts w:ascii="Times New Roman" w:hAnsi="Times New Roman" w:cs="Times New Roman"/>
          <w:sz w:val="24"/>
          <w:szCs w:val="24"/>
        </w:rPr>
        <w:t xml:space="preserve"> may not undermine the effect accorded to those provisions in the territory of those States</w:t>
      </w:r>
      <w:r w:rsidR="00743AAF" w:rsidRPr="004E2E14">
        <w:rPr>
          <w:rFonts w:ascii="Times New Roman" w:hAnsi="Times New Roman" w:cs="Times New Roman"/>
          <w:sz w:val="24"/>
          <w:szCs w:val="24"/>
        </w:rPr>
        <w:t>.</w:t>
      </w:r>
      <w:r w:rsidR="00743AAF" w:rsidRPr="004E2E14">
        <w:rPr>
          <w:rStyle w:val="Refdenotaalpie"/>
          <w:rFonts w:ascii="Times New Roman" w:hAnsi="Times New Roman" w:cs="Times New Roman"/>
          <w:sz w:val="24"/>
          <w:szCs w:val="24"/>
        </w:rPr>
        <w:footnoteReference w:id="79"/>
      </w:r>
      <w:r w:rsidRPr="004E2E14">
        <w:rPr>
          <w:rFonts w:ascii="Times New Roman" w:hAnsi="Times New Roman" w:cs="Times New Roman"/>
          <w:sz w:val="24"/>
          <w:szCs w:val="24"/>
        </w:rPr>
        <w:t xml:space="preserve"> </w:t>
      </w:r>
      <w:r w:rsidR="00412EE4">
        <w:rPr>
          <w:rFonts w:ascii="Times New Roman" w:hAnsi="Times New Roman" w:cs="Times New Roman"/>
          <w:sz w:val="24"/>
          <w:szCs w:val="24"/>
        </w:rPr>
        <w:t>Moreover</w:t>
      </w:r>
      <w:r w:rsidR="00001C19" w:rsidRPr="004E2E14">
        <w:rPr>
          <w:rFonts w:ascii="Times New Roman" w:hAnsi="Times New Roman" w:cs="Times New Roman"/>
          <w:sz w:val="24"/>
          <w:szCs w:val="24"/>
        </w:rPr>
        <w:t xml:space="preserve">, any national court </w:t>
      </w:r>
      <w:r w:rsidR="00412EE4">
        <w:rPr>
          <w:rFonts w:ascii="Times New Roman" w:hAnsi="Times New Roman" w:cs="Times New Roman"/>
          <w:sz w:val="24"/>
          <w:szCs w:val="24"/>
        </w:rPr>
        <w:t>must</w:t>
      </w:r>
      <w:r w:rsidR="00001C19" w:rsidRPr="004E2E14">
        <w:rPr>
          <w:rFonts w:ascii="Times New Roman" w:hAnsi="Times New Roman" w:cs="Times New Roman"/>
          <w:sz w:val="24"/>
          <w:szCs w:val="24"/>
        </w:rPr>
        <w:t xml:space="preserve"> disapply any provision of national law which is contrary to a provision of EU law with direct effect in the case pending before it.</w:t>
      </w:r>
      <w:r w:rsidR="00001C19" w:rsidRPr="004E2E14">
        <w:rPr>
          <w:rStyle w:val="Refdenotaalpie"/>
          <w:rFonts w:ascii="Times New Roman" w:hAnsi="Times New Roman" w:cs="Times New Roman"/>
          <w:sz w:val="24"/>
          <w:szCs w:val="24"/>
        </w:rPr>
        <w:footnoteReference w:id="80"/>
      </w:r>
      <w:r w:rsidR="00001C19" w:rsidRPr="004E2E14">
        <w:rPr>
          <w:rFonts w:ascii="Times New Roman" w:hAnsi="Times New Roman" w:cs="Times New Roman"/>
          <w:sz w:val="24"/>
          <w:szCs w:val="24"/>
        </w:rPr>
        <w:t xml:space="preserve"> </w:t>
      </w:r>
    </w:p>
    <w:p w14:paraId="1D3BC189" w14:textId="383CB2DD" w:rsidR="00ED4FE1" w:rsidRPr="004E2E14" w:rsidRDefault="00EF0428"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Following the decisions of the CJEU on this matter, in particular the decision in the Zurek case, and in an attempt to avoid the application of other sanctions, particularly financial ones, which would be more onerous</w:t>
      </w:r>
      <w:r w:rsidR="00ED4FE1" w:rsidRPr="004E2E14">
        <w:rPr>
          <w:rFonts w:ascii="Times New Roman" w:hAnsi="Times New Roman" w:cs="Times New Roman"/>
          <w:sz w:val="24"/>
          <w:szCs w:val="24"/>
        </w:rPr>
        <w:t>, Poland committed</w:t>
      </w:r>
      <w:r w:rsidRPr="004E2E14">
        <w:rPr>
          <w:rFonts w:ascii="Times New Roman" w:hAnsi="Times New Roman" w:cs="Times New Roman"/>
          <w:sz w:val="24"/>
          <w:szCs w:val="24"/>
        </w:rPr>
        <w:t xml:space="preserve">, in its Recovery and Resilience </w:t>
      </w:r>
      <w:r w:rsidRPr="004E2E14">
        <w:rPr>
          <w:rFonts w:ascii="Times New Roman" w:hAnsi="Times New Roman" w:cs="Times New Roman"/>
          <w:sz w:val="24"/>
          <w:szCs w:val="24"/>
        </w:rPr>
        <w:lastRenderedPageBreak/>
        <w:t>Plan</w:t>
      </w:r>
      <w:r w:rsidR="004C55DC" w:rsidRPr="004E2E14">
        <w:rPr>
          <w:rStyle w:val="Refdenotaalpie"/>
          <w:rFonts w:ascii="Times New Roman" w:hAnsi="Times New Roman" w:cs="Times New Roman"/>
          <w:sz w:val="24"/>
          <w:szCs w:val="24"/>
        </w:rPr>
        <w:footnoteReference w:id="81"/>
      </w:r>
      <w:r w:rsidRPr="004E2E14">
        <w:rPr>
          <w:rFonts w:ascii="Times New Roman" w:hAnsi="Times New Roman" w:cs="Times New Roman"/>
          <w:sz w:val="24"/>
          <w:szCs w:val="24"/>
        </w:rPr>
        <w:t>,</w:t>
      </w:r>
      <w:r w:rsidR="00ED4FE1" w:rsidRPr="004E2E14">
        <w:rPr>
          <w:rFonts w:ascii="Times New Roman" w:hAnsi="Times New Roman" w:cs="Times New Roman"/>
          <w:sz w:val="24"/>
          <w:szCs w:val="24"/>
        </w:rPr>
        <w:t xml:space="preserve"> to undertake reforms of the disciplinary regime regarding judges, to dismantle the Disciplinary Chamber of the Supreme Court, and to create review proceedings for judges affected by decisions of that Chamber. The plan aims to strengthen certain aspects of the independence of the judiciary. In the meantime, despite </w:t>
      </w:r>
      <w:r w:rsidR="007B2C1B" w:rsidRPr="004E2E14">
        <w:rPr>
          <w:rFonts w:ascii="Times New Roman" w:hAnsi="Times New Roman" w:cs="Times New Roman"/>
          <w:sz w:val="24"/>
          <w:szCs w:val="24"/>
        </w:rPr>
        <w:t>the rulings</w:t>
      </w:r>
      <w:r w:rsidR="00ED4FE1" w:rsidRPr="004E2E14">
        <w:rPr>
          <w:rFonts w:ascii="Times New Roman" w:hAnsi="Times New Roman" w:cs="Times New Roman"/>
          <w:sz w:val="24"/>
          <w:szCs w:val="24"/>
        </w:rPr>
        <w:t xml:space="preserve"> of the </w:t>
      </w:r>
      <w:r w:rsidR="00566BFF" w:rsidRPr="00566BFF">
        <w:rPr>
          <w:rFonts w:ascii="Times New Roman" w:hAnsi="Times New Roman" w:cs="Times New Roman"/>
          <w:sz w:val="24"/>
          <w:szCs w:val="24"/>
        </w:rPr>
        <w:t>CJEU</w:t>
      </w:r>
      <w:r w:rsidR="00ED4FE1" w:rsidRPr="004E2E14">
        <w:rPr>
          <w:rFonts w:ascii="Times New Roman" w:hAnsi="Times New Roman" w:cs="Times New Roman"/>
          <w:sz w:val="24"/>
          <w:szCs w:val="24"/>
        </w:rPr>
        <w:t xml:space="preserve">, the Disciplinary Chamber continued to decide on cases concerning judges, </w:t>
      </w:r>
      <w:r w:rsidR="007B2C1B" w:rsidRPr="004E2E14">
        <w:rPr>
          <w:rFonts w:ascii="Times New Roman" w:hAnsi="Times New Roman" w:cs="Times New Roman"/>
          <w:sz w:val="24"/>
          <w:szCs w:val="24"/>
        </w:rPr>
        <w:t>including</w:t>
      </w:r>
      <w:r w:rsidR="00ED4FE1" w:rsidRPr="004E2E14">
        <w:rPr>
          <w:rFonts w:ascii="Times New Roman" w:hAnsi="Times New Roman" w:cs="Times New Roman"/>
          <w:sz w:val="24"/>
          <w:szCs w:val="24"/>
        </w:rPr>
        <w:t xml:space="preserve"> suspending them in office. </w:t>
      </w:r>
      <w:r w:rsidR="001F715E" w:rsidRPr="004E2E14">
        <w:rPr>
          <w:rFonts w:ascii="Times New Roman" w:hAnsi="Times New Roman" w:cs="Times New Roman"/>
          <w:sz w:val="24"/>
          <w:szCs w:val="24"/>
        </w:rPr>
        <w:t xml:space="preserve">In other words, in the absence of strong political action, no legal action </w:t>
      </w:r>
      <w:r w:rsidR="00A7363D" w:rsidRPr="004E2E14">
        <w:rPr>
          <w:rFonts w:ascii="Times New Roman" w:hAnsi="Times New Roman" w:cs="Times New Roman"/>
          <w:sz w:val="24"/>
          <w:szCs w:val="24"/>
        </w:rPr>
        <w:t>is</w:t>
      </w:r>
      <w:r w:rsidR="001F715E" w:rsidRPr="004E2E14">
        <w:rPr>
          <w:rFonts w:ascii="Times New Roman" w:hAnsi="Times New Roman" w:cs="Times New Roman"/>
          <w:sz w:val="24"/>
          <w:szCs w:val="24"/>
        </w:rPr>
        <w:t xml:space="preserve"> enough to stop </w:t>
      </w:r>
      <w:r w:rsidR="00062F6C">
        <w:rPr>
          <w:rFonts w:ascii="Times New Roman" w:hAnsi="Times New Roman" w:cs="Times New Roman"/>
          <w:sz w:val="24"/>
          <w:szCs w:val="24"/>
        </w:rPr>
        <w:t>Rule of Law</w:t>
      </w:r>
      <w:r w:rsidR="001F715E" w:rsidRPr="004E2E14">
        <w:rPr>
          <w:rFonts w:ascii="Times New Roman" w:hAnsi="Times New Roman" w:cs="Times New Roman"/>
          <w:sz w:val="24"/>
          <w:szCs w:val="24"/>
        </w:rPr>
        <w:t xml:space="preserve"> backsliding in Poland.</w:t>
      </w:r>
      <w:r w:rsidR="001F715E" w:rsidRPr="004E2E14">
        <w:rPr>
          <w:rStyle w:val="Refdenotaalpie"/>
          <w:rFonts w:ascii="Times New Roman" w:hAnsi="Times New Roman" w:cs="Times New Roman"/>
          <w:sz w:val="24"/>
          <w:szCs w:val="24"/>
        </w:rPr>
        <w:footnoteReference w:id="82"/>
      </w:r>
    </w:p>
    <w:p w14:paraId="5E55201E" w14:textId="77777777" w:rsidR="00B80F60" w:rsidRPr="004E2E14" w:rsidRDefault="00B80F60" w:rsidP="001D12B5">
      <w:pPr>
        <w:spacing w:after="0" w:line="240" w:lineRule="auto"/>
        <w:jc w:val="both"/>
        <w:rPr>
          <w:rFonts w:ascii="Times New Roman" w:hAnsi="Times New Roman" w:cs="Times New Roman"/>
          <w:sz w:val="24"/>
          <w:szCs w:val="24"/>
        </w:rPr>
      </w:pPr>
    </w:p>
    <w:p w14:paraId="4C0E57EB" w14:textId="287B3642" w:rsidR="00D272BD" w:rsidRPr="00425FC8" w:rsidRDefault="00D272BD" w:rsidP="001D12B5">
      <w:pPr>
        <w:pStyle w:val="Prrafodelista"/>
        <w:numPr>
          <w:ilvl w:val="2"/>
          <w:numId w:val="22"/>
        </w:numPr>
        <w:spacing w:after="0" w:line="240" w:lineRule="auto"/>
        <w:ind w:left="0" w:firstLine="0"/>
        <w:jc w:val="both"/>
        <w:rPr>
          <w:rFonts w:ascii="Times New Roman" w:hAnsi="Times New Roman" w:cs="Times New Roman"/>
          <w:i/>
          <w:iCs/>
          <w:sz w:val="24"/>
          <w:szCs w:val="24"/>
        </w:rPr>
      </w:pPr>
      <w:r w:rsidRPr="00425FC8">
        <w:rPr>
          <w:rFonts w:ascii="Times New Roman" w:hAnsi="Times New Roman" w:cs="Times New Roman"/>
          <w:i/>
          <w:iCs/>
          <w:sz w:val="24"/>
          <w:szCs w:val="24"/>
        </w:rPr>
        <w:t>Hungary</w:t>
      </w:r>
    </w:p>
    <w:p w14:paraId="51F490B9" w14:textId="62805B7E" w:rsidR="00C51B2A" w:rsidRPr="004E2E14" w:rsidRDefault="00AF6100"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In Hungary, the government</w:t>
      </w:r>
      <w:r w:rsidR="000E2D5D" w:rsidRPr="004E2E14">
        <w:rPr>
          <w:rFonts w:ascii="Times New Roman" w:hAnsi="Times New Roman" w:cs="Times New Roman"/>
          <w:sz w:val="24"/>
          <w:szCs w:val="24"/>
        </w:rPr>
        <w:t xml:space="preserve"> of Prime Minister Viktor Orbán</w:t>
      </w:r>
      <w:r w:rsidR="005A069F" w:rsidRPr="004E2E14">
        <w:rPr>
          <w:rFonts w:ascii="Times New Roman" w:hAnsi="Times New Roman" w:cs="Times New Roman"/>
          <w:sz w:val="24"/>
          <w:szCs w:val="24"/>
        </w:rPr>
        <w:t>,</w:t>
      </w:r>
      <w:r w:rsidR="006E6173" w:rsidRPr="004E2E14">
        <w:rPr>
          <w:rFonts w:ascii="Times New Roman" w:hAnsi="Times New Roman" w:cs="Times New Roman"/>
          <w:sz w:val="24"/>
          <w:szCs w:val="24"/>
        </w:rPr>
        <w:t xml:space="preserve"> </w:t>
      </w:r>
      <w:r w:rsidR="005A069F" w:rsidRPr="004E2E14">
        <w:rPr>
          <w:rFonts w:ascii="Times New Roman" w:hAnsi="Times New Roman" w:cs="Times New Roman"/>
          <w:sz w:val="24"/>
          <w:szCs w:val="24"/>
        </w:rPr>
        <w:t xml:space="preserve">with </w:t>
      </w:r>
      <w:r w:rsidR="006E6173" w:rsidRPr="004E2E14">
        <w:rPr>
          <w:rFonts w:ascii="Times New Roman" w:hAnsi="Times New Roman" w:cs="Times New Roman"/>
          <w:sz w:val="24"/>
          <w:szCs w:val="24"/>
        </w:rPr>
        <w:t>a super</w:t>
      </w:r>
      <w:r w:rsidR="005A069F" w:rsidRPr="004E2E14">
        <w:rPr>
          <w:rFonts w:ascii="Times New Roman" w:hAnsi="Times New Roman" w:cs="Times New Roman"/>
          <w:sz w:val="24"/>
          <w:szCs w:val="24"/>
        </w:rPr>
        <w:t>majority in Parliament,</w:t>
      </w:r>
      <w:r w:rsidRPr="004E2E14">
        <w:rPr>
          <w:rFonts w:ascii="Times New Roman" w:hAnsi="Times New Roman" w:cs="Times New Roman"/>
          <w:sz w:val="24"/>
          <w:szCs w:val="24"/>
        </w:rPr>
        <w:t xml:space="preserve"> </w:t>
      </w:r>
      <w:r w:rsidR="00C84C65" w:rsidRPr="004E2E14">
        <w:rPr>
          <w:rFonts w:ascii="Times New Roman" w:hAnsi="Times New Roman" w:cs="Times New Roman"/>
          <w:sz w:val="24"/>
          <w:szCs w:val="24"/>
        </w:rPr>
        <w:t xml:space="preserve">has </w:t>
      </w:r>
      <w:r w:rsidR="00EF0428" w:rsidRPr="004E2E14">
        <w:rPr>
          <w:rFonts w:ascii="Times New Roman" w:hAnsi="Times New Roman" w:cs="Times New Roman"/>
          <w:sz w:val="24"/>
          <w:szCs w:val="24"/>
        </w:rPr>
        <w:t>strongly attacked</w:t>
      </w:r>
      <w:r w:rsidR="005A069F" w:rsidRPr="004E2E14">
        <w:rPr>
          <w:rFonts w:ascii="Times New Roman" w:hAnsi="Times New Roman" w:cs="Times New Roman"/>
          <w:sz w:val="24"/>
          <w:szCs w:val="24"/>
        </w:rPr>
        <w:t xml:space="preserve"> </w:t>
      </w:r>
      <w:r w:rsidRPr="004E2E14">
        <w:rPr>
          <w:rFonts w:ascii="Times New Roman" w:hAnsi="Times New Roman" w:cs="Times New Roman"/>
          <w:sz w:val="24"/>
          <w:szCs w:val="24"/>
        </w:rPr>
        <w:t>judicial independence</w:t>
      </w:r>
      <w:r w:rsidR="005A069F" w:rsidRPr="004E2E14">
        <w:rPr>
          <w:rFonts w:ascii="Times New Roman" w:hAnsi="Times New Roman" w:cs="Times New Roman"/>
          <w:sz w:val="24"/>
          <w:szCs w:val="24"/>
        </w:rPr>
        <w:t>, with almost no opposition</w:t>
      </w:r>
      <w:r w:rsidR="007F493C" w:rsidRPr="004E2E14">
        <w:rPr>
          <w:rFonts w:ascii="Times New Roman" w:hAnsi="Times New Roman" w:cs="Times New Roman"/>
          <w:sz w:val="24"/>
          <w:szCs w:val="24"/>
        </w:rPr>
        <w:t xml:space="preserve">. </w:t>
      </w:r>
      <w:r w:rsidR="00241E3F" w:rsidRPr="004E2E14">
        <w:rPr>
          <w:rFonts w:ascii="Times New Roman" w:hAnsi="Times New Roman" w:cs="Times New Roman"/>
          <w:sz w:val="24"/>
          <w:szCs w:val="24"/>
        </w:rPr>
        <w:t>Unlike in Poland, i</w:t>
      </w:r>
      <w:r w:rsidR="007F493C" w:rsidRPr="004E2E14">
        <w:rPr>
          <w:rFonts w:ascii="Times New Roman" w:hAnsi="Times New Roman" w:cs="Times New Roman"/>
          <w:sz w:val="24"/>
          <w:szCs w:val="24"/>
        </w:rPr>
        <w:t>t began</w:t>
      </w:r>
      <w:r w:rsidR="005A069F" w:rsidRPr="004E2E14">
        <w:rPr>
          <w:rFonts w:ascii="Times New Roman" w:hAnsi="Times New Roman" w:cs="Times New Roman"/>
          <w:sz w:val="24"/>
          <w:szCs w:val="24"/>
        </w:rPr>
        <w:t xml:space="preserve"> with</w:t>
      </w:r>
      <w:r w:rsidR="007F493C" w:rsidRPr="004E2E14">
        <w:rPr>
          <w:rFonts w:ascii="Times New Roman" w:hAnsi="Times New Roman" w:cs="Times New Roman"/>
          <w:sz w:val="24"/>
          <w:szCs w:val="24"/>
        </w:rPr>
        <w:t xml:space="preserve"> </w:t>
      </w:r>
      <w:r w:rsidR="005A069F" w:rsidRPr="004E2E14">
        <w:rPr>
          <w:rFonts w:ascii="Times New Roman" w:hAnsi="Times New Roman" w:cs="Times New Roman"/>
          <w:sz w:val="24"/>
          <w:szCs w:val="24"/>
        </w:rPr>
        <w:t>change</w:t>
      </w:r>
      <w:r w:rsidR="007F493C" w:rsidRPr="004E2E14">
        <w:rPr>
          <w:rFonts w:ascii="Times New Roman" w:hAnsi="Times New Roman" w:cs="Times New Roman"/>
          <w:sz w:val="24"/>
          <w:szCs w:val="24"/>
        </w:rPr>
        <w:t>s</w:t>
      </w:r>
      <w:r w:rsidR="005A069F" w:rsidRPr="004E2E14">
        <w:rPr>
          <w:rFonts w:ascii="Times New Roman" w:hAnsi="Times New Roman" w:cs="Times New Roman"/>
          <w:sz w:val="24"/>
          <w:szCs w:val="24"/>
        </w:rPr>
        <w:t xml:space="preserve"> on the constitutional level.</w:t>
      </w:r>
      <w:r w:rsidR="006B1F8E" w:rsidRPr="004E2E14">
        <w:rPr>
          <w:rStyle w:val="Refdenotaalpie"/>
          <w:rFonts w:ascii="Times New Roman" w:hAnsi="Times New Roman" w:cs="Times New Roman"/>
          <w:sz w:val="24"/>
          <w:szCs w:val="24"/>
        </w:rPr>
        <w:footnoteReference w:id="83"/>
      </w:r>
      <w:r w:rsidR="00C51B2A" w:rsidRPr="004E2E14">
        <w:rPr>
          <w:rFonts w:ascii="Times New Roman" w:hAnsi="Times New Roman" w:cs="Times New Roman"/>
          <w:sz w:val="24"/>
          <w:szCs w:val="24"/>
        </w:rPr>
        <w:t xml:space="preserve"> </w:t>
      </w:r>
    </w:p>
    <w:p w14:paraId="1A433E0D" w14:textId="2EFB65D0" w:rsidR="00EF0428" w:rsidRPr="004E2E14" w:rsidRDefault="00C51B2A"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A new constitution</w:t>
      </w:r>
      <w:r w:rsidR="00241E3F" w:rsidRPr="004E2E14">
        <w:rPr>
          <w:rFonts w:ascii="Times New Roman" w:hAnsi="Times New Roman" w:cs="Times New Roman"/>
          <w:sz w:val="24"/>
          <w:szCs w:val="24"/>
        </w:rPr>
        <w:t xml:space="preserve">, the </w:t>
      </w:r>
      <w:r w:rsidR="00A87F59" w:rsidRPr="004E2E14">
        <w:rPr>
          <w:rFonts w:ascii="Times New Roman" w:hAnsi="Times New Roman" w:cs="Times New Roman"/>
          <w:sz w:val="24"/>
          <w:szCs w:val="24"/>
        </w:rPr>
        <w:t>Fundamental Law of Hungary</w:t>
      </w:r>
      <w:r w:rsidR="006E6173" w:rsidRPr="004E2E14">
        <w:rPr>
          <w:rStyle w:val="Refdenotaalpie"/>
          <w:rFonts w:ascii="Times New Roman" w:hAnsi="Times New Roman" w:cs="Times New Roman"/>
          <w:sz w:val="24"/>
          <w:szCs w:val="24"/>
        </w:rPr>
        <w:footnoteReference w:id="84"/>
      </w:r>
      <w:r w:rsidR="00241E3F" w:rsidRPr="004E2E14">
        <w:rPr>
          <w:rFonts w:ascii="Times New Roman" w:hAnsi="Times New Roman" w:cs="Times New Roman"/>
          <w:sz w:val="24"/>
          <w:szCs w:val="24"/>
        </w:rPr>
        <w:t>,</w:t>
      </w:r>
      <w:r w:rsidR="00A87F59" w:rsidRPr="004E2E14">
        <w:rPr>
          <w:rFonts w:ascii="Times New Roman" w:hAnsi="Times New Roman" w:cs="Times New Roman"/>
          <w:sz w:val="24"/>
          <w:szCs w:val="24"/>
        </w:rPr>
        <w:t xml:space="preserve"> </w:t>
      </w:r>
      <w:r w:rsidRPr="004E2E14">
        <w:rPr>
          <w:rFonts w:ascii="Times New Roman" w:hAnsi="Times New Roman" w:cs="Times New Roman"/>
          <w:sz w:val="24"/>
          <w:szCs w:val="24"/>
        </w:rPr>
        <w:t xml:space="preserve">was adopted </w:t>
      </w:r>
      <w:r w:rsidR="0000382D" w:rsidRPr="004E2E14">
        <w:rPr>
          <w:rFonts w:ascii="Times New Roman" w:hAnsi="Times New Roman" w:cs="Times New Roman"/>
          <w:sz w:val="24"/>
          <w:szCs w:val="24"/>
        </w:rPr>
        <w:t>in</w:t>
      </w:r>
      <w:r w:rsidRPr="004E2E14">
        <w:rPr>
          <w:rFonts w:ascii="Times New Roman" w:hAnsi="Times New Roman" w:cs="Times New Roman"/>
          <w:sz w:val="24"/>
          <w:szCs w:val="24"/>
        </w:rPr>
        <w:t xml:space="preserve"> April 2011</w:t>
      </w:r>
      <w:r w:rsidR="00176CC5" w:rsidRPr="004E2E14">
        <w:rPr>
          <w:rFonts w:ascii="Times New Roman" w:hAnsi="Times New Roman" w:cs="Times New Roman"/>
          <w:sz w:val="24"/>
          <w:szCs w:val="24"/>
        </w:rPr>
        <w:t xml:space="preserve">, </w:t>
      </w:r>
      <w:r w:rsidR="0018042C" w:rsidRPr="004E2E14">
        <w:rPr>
          <w:rFonts w:ascii="Times New Roman" w:hAnsi="Times New Roman" w:cs="Times New Roman"/>
          <w:sz w:val="24"/>
          <w:szCs w:val="24"/>
        </w:rPr>
        <w:t xml:space="preserve">and with it a new structure of the </w:t>
      </w:r>
      <w:r w:rsidR="00412EE4">
        <w:rPr>
          <w:rFonts w:ascii="Times New Roman" w:hAnsi="Times New Roman" w:cs="Times New Roman"/>
          <w:sz w:val="24"/>
          <w:szCs w:val="24"/>
        </w:rPr>
        <w:t>judicial</w:t>
      </w:r>
      <w:r w:rsidR="0018042C" w:rsidRPr="004E2E14">
        <w:rPr>
          <w:rFonts w:ascii="Times New Roman" w:hAnsi="Times New Roman" w:cs="Times New Roman"/>
          <w:sz w:val="24"/>
          <w:szCs w:val="24"/>
        </w:rPr>
        <w:t xml:space="preserve"> system.</w:t>
      </w:r>
      <w:r w:rsidR="00176CC5" w:rsidRPr="004E2E14">
        <w:rPr>
          <w:rStyle w:val="Refdenotaalpie"/>
          <w:rFonts w:ascii="Times New Roman" w:hAnsi="Times New Roman" w:cs="Times New Roman"/>
          <w:sz w:val="24"/>
          <w:szCs w:val="24"/>
        </w:rPr>
        <w:footnoteReference w:id="85"/>
      </w:r>
      <w:r w:rsidR="0018042C" w:rsidRPr="004E2E14">
        <w:rPr>
          <w:rFonts w:ascii="Times New Roman" w:hAnsi="Times New Roman" w:cs="Times New Roman"/>
          <w:sz w:val="24"/>
          <w:szCs w:val="24"/>
        </w:rPr>
        <w:t xml:space="preserve"> </w:t>
      </w:r>
    </w:p>
    <w:p w14:paraId="73F1DCC9" w14:textId="6F7B6825" w:rsidR="00AF6100" w:rsidRPr="004E2E14" w:rsidRDefault="0018042C"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The framework of </w:t>
      </w:r>
      <w:r w:rsidR="00412EE4">
        <w:rPr>
          <w:rFonts w:ascii="Times New Roman" w:hAnsi="Times New Roman" w:cs="Times New Roman"/>
          <w:sz w:val="24"/>
          <w:szCs w:val="24"/>
        </w:rPr>
        <w:t xml:space="preserve">the </w:t>
      </w:r>
      <w:r w:rsidRPr="004E2E14">
        <w:rPr>
          <w:rFonts w:ascii="Times New Roman" w:hAnsi="Times New Roman" w:cs="Times New Roman"/>
          <w:sz w:val="24"/>
          <w:szCs w:val="24"/>
        </w:rPr>
        <w:t xml:space="preserve">Constitutional Court was changed </w:t>
      </w:r>
      <w:r w:rsidR="00A7363D" w:rsidRPr="004E2E14">
        <w:rPr>
          <w:rFonts w:ascii="Times New Roman" w:hAnsi="Times New Roman" w:cs="Times New Roman"/>
          <w:sz w:val="24"/>
          <w:szCs w:val="24"/>
        </w:rPr>
        <w:t>to</w:t>
      </w:r>
      <w:r w:rsidRPr="004E2E14">
        <w:rPr>
          <w:rFonts w:ascii="Times New Roman" w:hAnsi="Times New Roman" w:cs="Times New Roman"/>
          <w:sz w:val="24"/>
          <w:szCs w:val="24"/>
        </w:rPr>
        <w:t xml:space="preserve"> limit </w:t>
      </w:r>
      <w:r w:rsidR="00DE2B73" w:rsidRPr="004E2E14">
        <w:rPr>
          <w:rFonts w:ascii="Times New Roman" w:hAnsi="Times New Roman" w:cs="Times New Roman"/>
          <w:sz w:val="24"/>
          <w:szCs w:val="24"/>
        </w:rPr>
        <w:t>its decision-making</w:t>
      </w:r>
      <w:r w:rsidR="00A36F9C" w:rsidRPr="004E2E14">
        <w:rPr>
          <w:rStyle w:val="Refdenotaalpie"/>
          <w:rFonts w:ascii="Times New Roman" w:hAnsi="Times New Roman" w:cs="Times New Roman"/>
          <w:sz w:val="24"/>
          <w:szCs w:val="24"/>
        </w:rPr>
        <w:footnoteReference w:id="86"/>
      </w:r>
      <w:r w:rsidR="00DE2B73" w:rsidRPr="004E2E14">
        <w:rPr>
          <w:rFonts w:ascii="Times New Roman" w:hAnsi="Times New Roman" w:cs="Times New Roman"/>
          <w:sz w:val="24"/>
          <w:szCs w:val="24"/>
        </w:rPr>
        <w:t xml:space="preserve">, and its decisions taken before </w:t>
      </w:r>
      <w:r w:rsidR="00761704" w:rsidRPr="004E2E14">
        <w:rPr>
          <w:rFonts w:ascii="Times New Roman" w:hAnsi="Times New Roman" w:cs="Times New Roman"/>
          <w:sz w:val="24"/>
          <w:szCs w:val="24"/>
        </w:rPr>
        <w:t>2012</w:t>
      </w:r>
      <w:r w:rsidR="009223D8" w:rsidRPr="004E2E14">
        <w:rPr>
          <w:rFonts w:ascii="Times New Roman" w:hAnsi="Times New Roman" w:cs="Times New Roman"/>
          <w:sz w:val="24"/>
          <w:szCs w:val="24"/>
        </w:rPr>
        <w:t xml:space="preserve"> were repealed.</w:t>
      </w:r>
      <w:r w:rsidR="006164EB" w:rsidRPr="004E2E14">
        <w:rPr>
          <w:rStyle w:val="Refdenotaalpie"/>
          <w:rFonts w:ascii="Times New Roman" w:hAnsi="Times New Roman" w:cs="Times New Roman"/>
          <w:sz w:val="24"/>
          <w:szCs w:val="24"/>
        </w:rPr>
        <w:footnoteReference w:id="87"/>
      </w:r>
      <w:r w:rsidR="009223D8" w:rsidRPr="004E2E14">
        <w:rPr>
          <w:rFonts w:ascii="Times New Roman" w:hAnsi="Times New Roman" w:cs="Times New Roman"/>
          <w:sz w:val="24"/>
          <w:szCs w:val="24"/>
        </w:rPr>
        <w:t xml:space="preserve"> In 2011, the original number of judges had already been increased from eleven to</w:t>
      </w:r>
      <w:r w:rsidR="00890AB5" w:rsidRPr="004E2E14">
        <w:rPr>
          <w:rFonts w:ascii="Times New Roman" w:hAnsi="Times New Roman" w:cs="Times New Roman"/>
          <w:sz w:val="24"/>
          <w:szCs w:val="24"/>
        </w:rPr>
        <w:t xml:space="preserve"> fifteen, with new judges elected by the majority in the National Assembly</w:t>
      </w:r>
      <w:r w:rsidR="00412EE4">
        <w:rPr>
          <w:rFonts w:ascii="Times New Roman" w:hAnsi="Times New Roman" w:cs="Times New Roman"/>
          <w:sz w:val="24"/>
          <w:szCs w:val="24"/>
        </w:rPr>
        <w:t>;</w:t>
      </w:r>
      <w:r w:rsidR="00890AB5" w:rsidRPr="004E2E14">
        <w:rPr>
          <w:rFonts w:ascii="Times New Roman" w:hAnsi="Times New Roman" w:cs="Times New Roman"/>
          <w:sz w:val="24"/>
          <w:szCs w:val="24"/>
        </w:rPr>
        <w:t xml:space="preserve"> their term was extended from nine to twelve years</w:t>
      </w:r>
      <w:r w:rsidR="00412EE4">
        <w:rPr>
          <w:rFonts w:ascii="Times New Roman" w:hAnsi="Times New Roman" w:cs="Times New Roman"/>
          <w:sz w:val="24"/>
          <w:szCs w:val="24"/>
        </w:rPr>
        <w:t>,</w:t>
      </w:r>
      <w:r w:rsidR="00890AB5" w:rsidRPr="004E2E14">
        <w:rPr>
          <w:rFonts w:ascii="Times New Roman" w:hAnsi="Times New Roman" w:cs="Times New Roman"/>
          <w:sz w:val="24"/>
          <w:szCs w:val="24"/>
        </w:rPr>
        <w:t xml:space="preserve"> and the retirement age was abolished. In 2013, eleven of the judges had been nominated by the ruling coali</w:t>
      </w:r>
      <w:r w:rsidR="00E93FE9" w:rsidRPr="004E2E14">
        <w:rPr>
          <w:rFonts w:ascii="Times New Roman" w:hAnsi="Times New Roman" w:cs="Times New Roman"/>
          <w:sz w:val="24"/>
          <w:szCs w:val="24"/>
        </w:rPr>
        <w:t>tion.</w:t>
      </w:r>
      <w:r w:rsidR="00A87F59" w:rsidRPr="004E2E14">
        <w:rPr>
          <w:rStyle w:val="Refdenotaalpie"/>
          <w:rFonts w:ascii="Times New Roman" w:hAnsi="Times New Roman" w:cs="Times New Roman"/>
          <w:sz w:val="24"/>
          <w:szCs w:val="24"/>
        </w:rPr>
        <w:footnoteReference w:id="88"/>
      </w:r>
    </w:p>
    <w:p w14:paraId="2D43496A" w14:textId="6684154E" w:rsidR="00C51B2A" w:rsidRPr="004E2E14" w:rsidRDefault="00A87F59"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In 2018, a new amendment to the Fundamental Law was adopted, creating administrative courts and stating that the starting point for judges interpreting the law </w:t>
      </w:r>
      <w:r w:rsidR="00C00D8F" w:rsidRPr="004E2E14">
        <w:rPr>
          <w:rFonts w:ascii="Times New Roman" w:hAnsi="Times New Roman" w:cs="Times New Roman"/>
          <w:sz w:val="24"/>
          <w:szCs w:val="24"/>
        </w:rPr>
        <w:t>must</w:t>
      </w:r>
      <w:r w:rsidRPr="004E2E14">
        <w:rPr>
          <w:rFonts w:ascii="Times New Roman" w:hAnsi="Times New Roman" w:cs="Times New Roman"/>
          <w:sz w:val="24"/>
          <w:szCs w:val="24"/>
        </w:rPr>
        <w:t xml:space="preserve"> be an explanatory memorandum attached to legislative proposals</w:t>
      </w:r>
      <w:r w:rsidR="00E33A40" w:rsidRPr="004E2E14">
        <w:rPr>
          <w:rFonts w:ascii="Times New Roman" w:hAnsi="Times New Roman" w:cs="Times New Roman"/>
          <w:sz w:val="24"/>
          <w:szCs w:val="24"/>
        </w:rPr>
        <w:t xml:space="preserve">, </w:t>
      </w:r>
      <w:r w:rsidR="005939A6">
        <w:rPr>
          <w:rFonts w:ascii="Times New Roman" w:hAnsi="Times New Roman" w:cs="Times New Roman"/>
          <w:sz w:val="24"/>
          <w:szCs w:val="24"/>
        </w:rPr>
        <w:t>which</w:t>
      </w:r>
      <w:r w:rsidR="00E33A40" w:rsidRPr="004E2E14">
        <w:rPr>
          <w:rFonts w:ascii="Times New Roman" w:hAnsi="Times New Roman" w:cs="Times New Roman"/>
          <w:sz w:val="24"/>
          <w:szCs w:val="24"/>
        </w:rPr>
        <w:t xml:space="preserve"> reduces judicial independence.</w:t>
      </w:r>
    </w:p>
    <w:p w14:paraId="65A5449B" w14:textId="4F49CAB5" w:rsidR="00106D92" w:rsidRPr="004E2E14" w:rsidRDefault="00E33A40"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The Kúria (Supreme Court) also received a new framework. The </w:t>
      </w:r>
      <w:r w:rsidR="00FF4A69" w:rsidRPr="004E2E14">
        <w:rPr>
          <w:rFonts w:ascii="Times New Roman" w:hAnsi="Times New Roman" w:cs="Times New Roman"/>
          <w:sz w:val="24"/>
          <w:szCs w:val="24"/>
        </w:rPr>
        <w:t>age limit of judges was lowered to sixty-two years</w:t>
      </w:r>
      <w:r w:rsidR="005939A6">
        <w:rPr>
          <w:rFonts w:ascii="Times New Roman" w:hAnsi="Times New Roman" w:cs="Times New Roman"/>
          <w:sz w:val="24"/>
          <w:szCs w:val="24"/>
        </w:rPr>
        <w:t>,</w:t>
      </w:r>
      <w:r w:rsidR="00FF4A69" w:rsidRPr="004E2E14">
        <w:rPr>
          <w:rFonts w:ascii="Times New Roman" w:hAnsi="Times New Roman" w:cs="Times New Roman"/>
          <w:sz w:val="24"/>
          <w:szCs w:val="24"/>
        </w:rPr>
        <w:t xml:space="preserve"> which led to </w:t>
      </w:r>
      <w:r w:rsidR="00E975C8" w:rsidRPr="004E2E14">
        <w:rPr>
          <w:rFonts w:ascii="Times New Roman" w:hAnsi="Times New Roman" w:cs="Times New Roman"/>
          <w:sz w:val="24"/>
          <w:szCs w:val="24"/>
        </w:rPr>
        <w:t>a substantial proportion</w:t>
      </w:r>
      <w:r w:rsidR="00FF4A69" w:rsidRPr="004E2E14">
        <w:rPr>
          <w:rFonts w:ascii="Times New Roman" w:hAnsi="Times New Roman" w:cs="Times New Roman"/>
          <w:sz w:val="24"/>
          <w:szCs w:val="24"/>
        </w:rPr>
        <w:t xml:space="preserve"> of them leaving</w:t>
      </w:r>
      <w:r w:rsidR="00673340" w:rsidRPr="004E2E14">
        <w:rPr>
          <w:rFonts w:ascii="Times New Roman" w:hAnsi="Times New Roman" w:cs="Times New Roman"/>
          <w:sz w:val="24"/>
          <w:szCs w:val="24"/>
        </w:rPr>
        <w:t>.</w:t>
      </w:r>
      <w:r w:rsidR="00673340" w:rsidRPr="004E2E14">
        <w:rPr>
          <w:rStyle w:val="Refdenotaalpie"/>
          <w:rFonts w:ascii="Times New Roman" w:hAnsi="Times New Roman" w:cs="Times New Roman"/>
          <w:sz w:val="24"/>
          <w:szCs w:val="24"/>
        </w:rPr>
        <w:footnoteReference w:id="89"/>
      </w:r>
      <w:r w:rsidR="00F4591D" w:rsidRPr="004E2E14">
        <w:rPr>
          <w:rFonts w:ascii="Times New Roman" w:hAnsi="Times New Roman" w:cs="Times New Roman"/>
          <w:sz w:val="24"/>
          <w:szCs w:val="24"/>
        </w:rPr>
        <w:t xml:space="preserve"> Some of them appealed to the ECtHR.</w:t>
      </w:r>
      <w:r w:rsidR="00AA6015">
        <w:rPr>
          <w:rFonts w:ascii="Times New Roman" w:hAnsi="Times New Roman" w:cs="Times New Roman"/>
          <w:sz w:val="24"/>
          <w:szCs w:val="24"/>
        </w:rPr>
        <w:t xml:space="preserve"> </w:t>
      </w:r>
      <w:r w:rsidR="00AA6015" w:rsidRPr="00AA6015">
        <w:rPr>
          <w:rFonts w:ascii="Times New Roman" w:hAnsi="Times New Roman" w:cs="Times New Roman"/>
          <w:sz w:val="24"/>
          <w:szCs w:val="24"/>
        </w:rPr>
        <w:t>It was the case of András Baka, former President of the Supreme Court and critic of the steps of the government toward the judiciary, who was dismissed from that position when the new Fundamental Law came to force and could not apply for the position since he did not fulfill the requirement of serving at least five years as a judge in Hungary (Baka had been a judge at ECtHR for seventeen years).</w:t>
      </w:r>
      <w:r w:rsidR="00AA6015" w:rsidRPr="004E2E14">
        <w:rPr>
          <w:rStyle w:val="Refdenotaalpie"/>
          <w:rFonts w:ascii="Times New Roman" w:hAnsi="Times New Roman" w:cs="Times New Roman"/>
          <w:sz w:val="24"/>
          <w:szCs w:val="24"/>
        </w:rPr>
        <w:footnoteReference w:id="90"/>
      </w:r>
    </w:p>
    <w:p w14:paraId="0E0194E7" w14:textId="517C282D" w:rsidR="00D91B0F" w:rsidRPr="004E2E14" w:rsidRDefault="009A6AC7"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lastRenderedPageBreak/>
        <w:t xml:space="preserve">The selection and appointment of new judges, as well </w:t>
      </w:r>
      <w:r w:rsidR="005939A6">
        <w:rPr>
          <w:rFonts w:ascii="Times New Roman" w:hAnsi="Times New Roman" w:cs="Times New Roman"/>
          <w:sz w:val="24"/>
          <w:szCs w:val="24"/>
        </w:rPr>
        <w:t xml:space="preserve">as </w:t>
      </w:r>
      <w:r w:rsidRPr="004E2E14">
        <w:rPr>
          <w:rFonts w:ascii="Times New Roman" w:hAnsi="Times New Roman" w:cs="Times New Roman"/>
          <w:sz w:val="24"/>
          <w:szCs w:val="24"/>
        </w:rPr>
        <w:t xml:space="preserve">the promotion </w:t>
      </w:r>
      <w:r w:rsidR="005939A6">
        <w:rPr>
          <w:rFonts w:ascii="Times New Roman" w:hAnsi="Times New Roman" w:cs="Times New Roman"/>
          <w:sz w:val="24"/>
          <w:szCs w:val="24"/>
        </w:rPr>
        <w:t xml:space="preserve">and </w:t>
      </w:r>
      <w:r w:rsidRPr="004E2E14">
        <w:rPr>
          <w:rFonts w:ascii="Times New Roman" w:hAnsi="Times New Roman" w:cs="Times New Roman"/>
          <w:sz w:val="24"/>
          <w:szCs w:val="24"/>
        </w:rPr>
        <w:t>management of the court budgets</w:t>
      </w:r>
      <w:r w:rsidR="0009416F" w:rsidRPr="004E2E14">
        <w:rPr>
          <w:rFonts w:ascii="Times New Roman" w:hAnsi="Times New Roman" w:cs="Times New Roman"/>
          <w:sz w:val="24"/>
          <w:szCs w:val="24"/>
        </w:rPr>
        <w:t xml:space="preserve"> and disciplinary matters</w:t>
      </w:r>
      <w:r w:rsidR="005939A6">
        <w:rPr>
          <w:rFonts w:ascii="Times New Roman" w:hAnsi="Times New Roman" w:cs="Times New Roman"/>
          <w:sz w:val="24"/>
          <w:szCs w:val="24"/>
        </w:rPr>
        <w:t>,</w:t>
      </w:r>
      <w:r w:rsidRPr="004E2E14">
        <w:rPr>
          <w:rFonts w:ascii="Times New Roman" w:hAnsi="Times New Roman" w:cs="Times New Roman"/>
          <w:sz w:val="24"/>
          <w:szCs w:val="24"/>
        </w:rPr>
        <w:t xml:space="preserve"> ha</w:t>
      </w:r>
      <w:r w:rsidR="0009416F" w:rsidRPr="004E2E14">
        <w:rPr>
          <w:rFonts w:ascii="Times New Roman" w:hAnsi="Times New Roman" w:cs="Times New Roman"/>
          <w:sz w:val="24"/>
          <w:szCs w:val="24"/>
        </w:rPr>
        <w:t>ve</w:t>
      </w:r>
      <w:r w:rsidRPr="004E2E14">
        <w:rPr>
          <w:rFonts w:ascii="Times New Roman" w:hAnsi="Times New Roman" w:cs="Times New Roman"/>
          <w:sz w:val="24"/>
          <w:szCs w:val="24"/>
        </w:rPr>
        <w:t xml:space="preserve"> become </w:t>
      </w:r>
      <w:r w:rsidR="005939A6">
        <w:rPr>
          <w:rFonts w:ascii="Times New Roman" w:hAnsi="Times New Roman" w:cs="Times New Roman"/>
          <w:sz w:val="24"/>
          <w:szCs w:val="24"/>
        </w:rPr>
        <w:t>competencies</w:t>
      </w:r>
      <w:r w:rsidRPr="004E2E14">
        <w:rPr>
          <w:rFonts w:ascii="Times New Roman" w:hAnsi="Times New Roman" w:cs="Times New Roman"/>
          <w:sz w:val="24"/>
          <w:szCs w:val="24"/>
        </w:rPr>
        <w:t xml:space="preserve"> of the president of the National Judicial Office established by Parliament in 2012</w:t>
      </w:r>
      <w:r w:rsidR="0009416F" w:rsidRPr="004E2E14">
        <w:rPr>
          <w:rFonts w:ascii="Times New Roman" w:hAnsi="Times New Roman" w:cs="Times New Roman"/>
          <w:sz w:val="24"/>
          <w:szCs w:val="24"/>
        </w:rPr>
        <w:t xml:space="preserve">, which </w:t>
      </w:r>
      <w:r w:rsidR="005939A6">
        <w:rPr>
          <w:rFonts w:ascii="Times New Roman" w:hAnsi="Times New Roman" w:cs="Times New Roman"/>
          <w:sz w:val="24"/>
          <w:szCs w:val="24"/>
        </w:rPr>
        <w:t>is</w:t>
      </w:r>
      <w:r w:rsidR="0009416F" w:rsidRPr="004E2E14">
        <w:rPr>
          <w:rFonts w:ascii="Times New Roman" w:hAnsi="Times New Roman" w:cs="Times New Roman"/>
          <w:sz w:val="24"/>
          <w:szCs w:val="24"/>
        </w:rPr>
        <w:t xml:space="preserve"> </w:t>
      </w:r>
      <w:r w:rsidR="005939A6">
        <w:rPr>
          <w:rFonts w:ascii="Times New Roman" w:hAnsi="Times New Roman" w:cs="Times New Roman"/>
          <w:sz w:val="24"/>
          <w:szCs w:val="24"/>
        </w:rPr>
        <w:t xml:space="preserve">a </w:t>
      </w:r>
      <w:r w:rsidR="0009416F" w:rsidRPr="004E2E14">
        <w:rPr>
          <w:rFonts w:ascii="Times New Roman" w:hAnsi="Times New Roman" w:cs="Times New Roman"/>
          <w:sz w:val="24"/>
          <w:szCs w:val="24"/>
        </w:rPr>
        <w:t xml:space="preserve">crucial decision-maker in </w:t>
      </w:r>
      <w:r w:rsidR="004E6C8E" w:rsidRPr="004E2E14">
        <w:rPr>
          <w:rFonts w:ascii="Times New Roman" w:hAnsi="Times New Roman" w:cs="Times New Roman"/>
          <w:sz w:val="24"/>
          <w:szCs w:val="24"/>
        </w:rPr>
        <w:t>every</w:t>
      </w:r>
      <w:r w:rsidR="0009416F" w:rsidRPr="004E2E14">
        <w:rPr>
          <w:rFonts w:ascii="Times New Roman" w:hAnsi="Times New Roman" w:cs="Times New Roman"/>
          <w:sz w:val="24"/>
          <w:szCs w:val="24"/>
        </w:rPr>
        <w:t xml:space="preserve"> aspect of the organization of the judicial system</w:t>
      </w:r>
      <w:r w:rsidRPr="004E2E14">
        <w:rPr>
          <w:rFonts w:ascii="Times New Roman" w:hAnsi="Times New Roman" w:cs="Times New Roman"/>
          <w:sz w:val="24"/>
          <w:szCs w:val="24"/>
        </w:rPr>
        <w:t>.</w:t>
      </w:r>
      <w:r w:rsidR="0009416F" w:rsidRPr="004E2E14">
        <w:rPr>
          <w:rFonts w:ascii="Times New Roman" w:hAnsi="Times New Roman" w:cs="Times New Roman"/>
          <w:sz w:val="24"/>
          <w:szCs w:val="24"/>
        </w:rPr>
        <w:t xml:space="preserve"> </w:t>
      </w:r>
    </w:p>
    <w:p w14:paraId="47AA1DA2" w14:textId="7A93B1C3" w:rsidR="00543A4D" w:rsidRDefault="00543A4D"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All those amendments were strongly criticized at a national level, by the judges and the public, and by </w:t>
      </w:r>
      <w:r w:rsidR="00550E51" w:rsidRPr="004E2E14">
        <w:rPr>
          <w:rFonts w:ascii="Times New Roman" w:hAnsi="Times New Roman" w:cs="Times New Roman"/>
          <w:sz w:val="24"/>
          <w:szCs w:val="24"/>
        </w:rPr>
        <w:t>the European</w:t>
      </w:r>
      <w:r w:rsidRPr="004E2E14">
        <w:rPr>
          <w:rFonts w:ascii="Times New Roman" w:hAnsi="Times New Roman" w:cs="Times New Roman"/>
          <w:sz w:val="24"/>
          <w:szCs w:val="24"/>
        </w:rPr>
        <w:t xml:space="preserve"> and international community. </w:t>
      </w:r>
    </w:p>
    <w:p w14:paraId="49AC93C5" w14:textId="21E42E60" w:rsidR="003126BD" w:rsidRPr="003126BD" w:rsidRDefault="003126BD" w:rsidP="001D12B5">
      <w:pPr>
        <w:spacing w:after="0" w:line="240" w:lineRule="auto"/>
        <w:jc w:val="both"/>
        <w:rPr>
          <w:rFonts w:ascii="Times New Roman" w:hAnsi="Times New Roman" w:cs="Times New Roman"/>
          <w:sz w:val="24"/>
          <w:szCs w:val="24"/>
        </w:rPr>
      </w:pPr>
      <w:r w:rsidRPr="003126BD">
        <w:rPr>
          <w:rFonts w:ascii="Times New Roman" w:hAnsi="Times New Roman" w:cs="Times New Roman"/>
          <w:sz w:val="24"/>
          <w:szCs w:val="24"/>
        </w:rPr>
        <w:t xml:space="preserve">But the judicial independence backsliding was not the only infringement </w:t>
      </w:r>
      <w:r w:rsidR="007B2C1B" w:rsidRPr="003126BD">
        <w:rPr>
          <w:rFonts w:ascii="Times New Roman" w:hAnsi="Times New Roman" w:cs="Times New Roman"/>
          <w:sz w:val="24"/>
          <w:szCs w:val="24"/>
        </w:rPr>
        <w:t>conducted</w:t>
      </w:r>
      <w:r w:rsidRPr="003126BD">
        <w:rPr>
          <w:rFonts w:ascii="Times New Roman" w:hAnsi="Times New Roman" w:cs="Times New Roman"/>
          <w:sz w:val="24"/>
          <w:szCs w:val="24"/>
        </w:rPr>
        <w:t xml:space="preserve"> by Hungary against EU law and values. Restrictions on the rights of LGBTQI+ persons and migrants, issues related to the anti-corruption framework, the control of non-governmental </w:t>
      </w:r>
      <w:r w:rsidR="00CC39AD" w:rsidRPr="003126BD">
        <w:rPr>
          <w:rFonts w:ascii="Times New Roman" w:hAnsi="Times New Roman" w:cs="Times New Roman"/>
          <w:sz w:val="24"/>
          <w:szCs w:val="24"/>
        </w:rPr>
        <w:t>organizations</w:t>
      </w:r>
      <w:r w:rsidRPr="003126BD">
        <w:rPr>
          <w:rFonts w:ascii="Times New Roman" w:hAnsi="Times New Roman" w:cs="Times New Roman"/>
          <w:sz w:val="24"/>
          <w:szCs w:val="24"/>
        </w:rPr>
        <w:t>, academics</w:t>
      </w:r>
      <w:r w:rsidR="005939A6">
        <w:rPr>
          <w:rFonts w:ascii="Times New Roman" w:hAnsi="Times New Roman" w:cs="Times New Roman"/>
          <w:sz w:val="24"/>
          <w:szCs w:val="24"/>
        </w:rPr>
        <w:t>,</w:t>
      </w:r>
      <w:r w:rsidRPr="003126BD">
        <w:rPr>
          <w:rFonts w:ascii="Times New Roman" w:hAnsi="Times New Roman" w:cs="Times New Roman"/>
          <w:sz w:val="24"/>
          <w:szCs w:val="24"/>
        </w:rPr>
        <w:t xml:space="preserve"> and the media were also a concern to the European Union.</w:t>
      </w:r>
    </w:p>
    <w:p w14:paraId="277C0578" w14:textId="77777777" w:rsidR="00476D98" w:rsidRPr="004E2E14" w:rsidRDefault="00476D98" w:rsidP="001D12B5">
      <w:pPr>
        <w:spacing w:after="0" w:line="240" w:lineRule="auto"/>
        <w:jc w:val="both"/>
        <w:rPr>
          <w:rFonts w:ascii="Times New Roman" w:hAnsi="Times New Roman" w:cs="Times New Roman"/>
          <w:sz w:val="24"/>
          <w:szCs w:val="24"/>
        </w:rPr>
      </w:pPr>
    </w:p>
    <w:p w14:paraId="0FDF74AD" w14:textId="12D4753B" w:rsidR="00E818E7" w:rsidRPr="00425FC8" w:rsidRDefault="00E818E7" w:rsidP="001D12B5">
      <w:pPr>
        <w:pStyle w:val="Prrafodelista"/>
        <w:numPr>
          <w:ilvl w:val="0"/>
          <w:numId w:val="22"/>
        </w:numPr>
        <w:spacing w:line="240" w:lineRule="auto"/>
        <w:ind w:left="0" w:firstLine="0"/>
        <w:jc w:val="both"/>
        <w:rPr>
          <w:rFonts w:ascii="Times New Roman" w:hAnsi="Times New Roman" w:cs="Times New Roman"/>
          <w:b/>
          <w:bCs/>
          <w:sz w:val="24"/>
          <w:szCs w:val="24"/>
        </w:rPr>
      </w:pPr>
      <w:r w:rsidRPr="00425FC8">
        <w:rPr>
          <w:rFonts w:ascii="Times New Roman" w:hAnsi="Times New Roman" w:cs="Times New Roman"/>
          <w:b/>
          <w:bCs/>
          <w:sz w:val="24"/>
          <w:szCs w:val="24"/>
        </w:rPr>
        <w:t xml:space="preserve">Mechanisms for protecting the </w:t>
      </w:r>
      <w:r w:rsidR="00062F6C" w:rsidRPr="00425FC8">
        <w:rPr>
          <w:rFonts w:ascii="Times New Roman" w:hAnsi="Times New Roman" w:cs="Times New Roman"/>
          <w:b/>
          <w:bCs/>
          <w:sz w:val="24"/>
          <w:szCs w:val="24"/>
        </w:rPr>
        <w:t>Rule of Law</w:t>
      </w:r>
      <w:r w:rsidR="00476D98" w:rsidRPr="00425FC8">
        <w:rPr>
          <w:rFonts w:ascii="Times New Roman" w:hAnsi="Times New Roman" w:cs="Times New Roman"/>
          <w:b/>
          <w:bCs/>
          <w:sz w:val="24"/>
          <w:szCs w:val="24"/>
        </w:rPr>
        <w:t xml:space="preserve"> and judicial independence</w:t>
      </w:r>
    </w:p>
    <w:p w14:paraId="2D085EC4" w14:textId="21D9A59C" w:rsidR="00106D92" w:rsidRPr="004E2E14" w:rsidRDefault="005939A6"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00A37743" w:rsidRPr="004E2E14">
        <w:rPr>
          <w:rFonts w:ascii="Times New Roman" w:hAnsi="Times New Roman" w:cs="Times New Roman"/>
          <w:sz w:val="24"/>
          <w:szCs w:val="24"/>
        </w:rPr>
        <w:t xml:space="preserve"> ensures that</w:t>
      </w:r>
      <w:r w:rsidR="00786D4B" w:rsidRPr="004E2E14">
        <w:rPr>
          <w:rFonts w:ascii="Times New Roman" w:hAnsi="Times New Roman" w:cs="Times New Roman"/>
          <w:sz w:val="24"/>
          <w:szCs w:val="24"/>
        </w:rPr>
        <w:t xml:space="preserve"> </w:t>
      </w:r>
      <w:r w:rsidR="00062F6C">
        <w:rPr>
          <w:rFonts w:ascii="Times New Roman" w:hAnsi="Times New Roman" w:cs="Times New Roman"/>
          <w:sz w:val="24"/>
          <w:szCs w:val="24"/>
        </w:rPr>
        <w:t>Member States</w:t>
      </w:r>
      <w:r w:rsidR="00A37743" w:rsidRPr="004E2E14">
        <w:rPr>
          <w:rFonts w:ascii="Times New Roman" w:hAnsi="Times New Roman" w:cs="Times New Roman"/>
          <w:sz w:val="24"/>
          <w:szCs w:val="24"/>
        </w:rPr>
        <w:t xml:space="preserve"> and their citizens can work together in a spirit of mutual trust</w:t>
      </w:r>
      <w:r w:rsidR="00D91B0F" w:rsidRPr="004E2E14">
        <w:rPr>
          <w:rFonts w:ascii="Times New Roman" w:hAnsi="Times New Roman" w:cs="Times New Roman"/>
          <w:sz w:val="24"/>
          <w:szCs w:val="24"/>
        </w:rPr>
        <w:t>.</w:t>
      </w:r>
      <w:r w:rsidR="00A37743" w:rsidRPr="004E2E14">
        <w:rPr>
          <w:rFonts w:ascii="Times New Roman" w:hAnsi="Times New Roman" w:cs="Times New Roman"/>
          <w:sz w:val="24"/>
          <w:szCs w:val="24"/>
        </w:rPr>
        <w:t xml:space="preserve"> </w:t>
      </w:r>
      <w:r w:rsidR="00D91B0F" w:rsidRPr="004E2E14">
        <w:rPr>
          <w:rFonts w:ascii="Times New Roman" w:hAnsi="Times New Roman" w:cs="Times New Roman"/>
          <w:sz w:val="24"/>
          <w:szCs w:val="24"/>
        </w:rPr>
        <w:t>T</w:t>
      </w:r>
      <w:r w:rsidR="00A37743" w:rsidRPr="004E2E14">
        <w:rPr>
          <w:rFonts w:ascii="Times New Roman" w:hAnsi="Times New Roman" w:cs="Times New Roman"/>
          <w:sz w:val="24"/>
          <w:szCs w:val="24"/>
        </w:rPr>
        <w:t>rust in public</w:t>
      </w:r>
      <w:r w:rsidR="00786D4B" w:rsidRPr="004E2E14">
        <w:rPr>
          <w:rFonts w:ascii="Times New Roman" w:hAnsi="Times New Roman" w:cs="Times New Roman"/>
          <w:sz w:val="24"/>
          <w:szCs w:val="24"/>
        </w:rPr>
        <w:t xml:space="preserve"> </w:t>
      </w:r>
      <w:r w:rsidR="00A37743" w:rsidRPr="004E2E14">
        <w:rPr>
          <w:rFonts w:ascii="Times New Roman" w:hAnsi="Times New Roman" w:cs="Times New Roman"/>
          <w:sz w:val="24"/>
          <w:szCs w:val="24"/>
        </w:rPr>
        <w:t>institutions, including in the justice system, is crucial</w:t>
      </w:r>
      <w:r w:rsidR="00786D4B" w:rsidRPr="004E2E14">
        <w:rPr>
          <w:rFonts w:ascii="Times New Roman" w:hAnsi="Times New Roman" w:cs="Times New Roman"/>
          <w:sz w:val="24"/>
          <w:szCs w:val="24"/>
        </w:rPr>
        <w:t xml:space="preserve"> </w:t>
      </w:r>
      <w:r w:rsidR="00A37743" w:rsidRPr="004E2E14">
        <w:rPr>
          <w:rFonts w:ascii="Times New Roman" w:hAnsi="Times New Roman" w:cs="Times New Roman"/>
          <w:sz w:val="24"/>
          <w:szCs w:val="24"/>
        </w:rPr>
        <w:t>for the smooth functioning of</w:t>
      </w:r>
      <w:r w:rsidR="00786D4B" w:rsidRPr="004E2E14">
        <w:rPr>
          <w:rFonts w:ascii="Times New Roman" w:hAnsi="Times New Roman" w:cs="Times New Roman"/>
          <w:sz w:val="24"/>
          <w:szCs w:val="24"/>
        </w:rPr>
        <w:t xml:space="preserve"> </w:t>
      </w:r>
      <w:r w:rsidR="00A37743" w:rsidRPr="004E2E14">
        <w:rPr>
          <w:rFonts w:ascii="Times New Roman" w:hAnsi="Times New Roman" w:cs="Times New Roman"/>
          <w:sz w:val="24"/>
          <w:szCs w:val="24"/>
        </w:rPr>
        <w:t>democratic societies.</w:t>
      </w:r>
      <w:r w:rsidR="008B6B3F" w:rsidRPr="004E2E14">
        <w:rPr>
          <w:rFonts w:ascii="Times New Roman" w:hAnsi="Times New Roman" w:cs="Times New Roman"/>
          <w:sz w:val="24"/>
          <w:szCs w:val="24"/>
        </w:rPr>
        <w:t xml:space="preserve"> There is no democracy without the </w:t>
      </w:r>
      <w:r w:rsidR="00062F6C">
        <w:rPr>
          <w:rFonts w:ascii="Times New Roman" w:hAnsi="Times New Roman" w:cs="Times New Roman"/>
          <w:sz w:val="24"/>
          <w:szCs w:val="24"/>
        </w:rPr>
        <w:t>Rule of Law</w:t>
      </w:r>
      <w:r w:rsidR="00786D4B" w:rsidRPr="004E2E14">
        <w:rPr>
          <w:rStyle w:val="Refdenotaalpie"/>
          <w:rFonts w:ascii="Times New Roman" w:hAnsi="Times New Roman" w:cs="Times New Roman"/>
          <w:sz w:val="24"/>
          <w:szCs w:val="24"/>
        </w:rPr>
        <w:footnoteReference w:id="91"/>
      </w:r>
      <w:r w:rsidR="00A37743" w:rsidRPr="004E2E14">
        <w:rPr>
          <w:rFonts w:ascii="Times New Roman" w:hAnsi="Times New Roman" w:cs="Times New Roman"/>
          <w:sz w:val="24"/>
          <w:szCs w:val="24"/>
        </w:rPr>
        <w:t xml:space="preserve"> </w:t>
      </w:r>
      <w:r w:rsidR="00EF0428" w:rsidRPr="004E2E14">
        <w:rPr>
          <w:rFonts w:ascii="Times New Roman" w:hAnsi="Times New Roman" w:cs="Times New Roman"/>
          <w:sz w:val="24"/>
          <w:szCs w:val="24"/>
        </w:rPr>
        <w:t>and judicial independence.</w:t>
      </w:r>
    </w:p>
    <w:p w14:paraId="1783B887" w14:textId="219A8F76" w:rsidR="007A61B6" w:rsidRPr="004E2E14" w:rsidRDefault="00581751" w:rsidP="001D12B5">
      <w:pPr>
        <w:spacing w:after="2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But how can </w:t>
      </w:r>
      <w:r w:rsidR="00550E51" w:rsidRPr="004E2E14">
        <w:rPr>
          <w:rFonts w:ascii="Times New Roman" w:hAnsi="Times New Roman" w:cs="Times New Roman"/>
          <w:sz w:val="24"/>
          <w:szCs w:val="24"/>
        </w:rPr>
        <w:t>judicial</w:t>
      </w:r>
      <w:r w:rsidRPr="004E2E14">
        <w:rPr>
          <w:rFonts w:ascii="Times New Roman" w:hAnsi="Times New Roman" w:cs="Times New Roman"/>
          <w:sz w:val="24"/>
          <w:szCs w:val="24"/>
        </w:rPr>
        <w:t xml:space="preserve"> independence be protected from </w:t>
      </w:r>
      <w:r w:rsidR="00550E51" w:rsidRPr="004E2E14">
        <w:rPr>
          <w:rFonts w:ascii="Times New Roman" w:hAnsi="Times New Roman" w:cs="Times New Roman"/>
          <w:sz w:val="24"/>
          <w:szCs w:val="24"/>
        </w:rPr>
        <w:t>politicians’</w:t>
      </w:r>
      <w:r w:rsidRPr="004E2E14">
        <w:rPr>
          <w:rFonts w:ascii="Times New Roman" w:hAnsi="Times New Roman" w:cs="Times New Roman"/>
          <w:sz w:val="24"/>
          <w:szCs w:val="24"/>
        </w:rPr>
        <w:t xml:space="preserve"> influence?</w:t>
      </w:r>
    </w:p>
    <w:p w14:paraId="14194BCF" w14:textId="325497E6" w:rsidR="00AC727A" w:rsidRPr="004E2E14" w:rsidRDefault="00EF0428"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First, through the non-interference of the other powers of the State, especially the executive, in the </w:t>
      </w:r>
      <w:r w:rsidR="00550E51" w:rsidRPr="004E2E14">
        <w:rPr>
          <w:rFonts w:ascii="Times New Roman" w:hAnsi="Times New Roman" w:cs="Times New Roman"/>
          <w:sz w:val="24"/>
          <w:szCs w:val="24"/>
        </w:rPr>
        <w:t>organization</w:t>
      </w:r>
      <w:r w:rsidRPr="004E2E14">
        <w:rPr>
          <w:rFonts w:ascii="Times New Roman" w:hAnsi="Times New Roman" w:cs="Times New Roman"/>
          <w:sz w:val="24"/>
          <w:szCs w:val="24"/>
        </w:rPr>
        <w:t xml:space="preserve"> and functioning of the judiciary. To this end, it is essential </w:t>
      </w:r>
      <w:r w:rsidR="005939A6">
        <w:rPr>
          <w:rFonts w:ascii="Times New Roman" w:hAnsi="Times New Roman" w:cs="Times New Roman"/>
          <w:sz w:val="24"/>
          <w:szCs w:val="24"/>
        </w:rPr>
        <w:t xml:space="preserve">that </w:t>
      </w:r>
      <w:r w:rsidR="00BE04F0" w:rsidRPr="004E2E14">
        <w:rPr>
          <w:rFonts w:ascii="Times New Roman" w:hAnsi="Times New Roman" w:cs="Times New Roman"/>
          <w:sz w:val="24"/>
          <w:szCs w:val="24"/>
        </w:rPr>
        <w:t xml:space="preserve">the existence of independent bodies such as the </w:t>
      </w:r>
      <w:r w:rsidR="007A61B6" w:rsidRPr="004E2E14">
        <w:rPr>
          <w:rFonts w:ascii="Times New Roman" w:hAnsi="Times New Roman" w:cs="Times New Roman"/>
          <w:sz w:val="24"/>
          <w:szCs w:val="24"/>
        </w:rPr>
        <w:t>Councils for the Judiciary</w:t>
      </w:r>
      <w:r w:rsidR="00BE04F0" w:rsidRPr="004E2E14">
        <w:rPr>
          <w:rFonts w:ascii="Times New Roman" w:hAnsi="Times New Roman" w:cs="Times New Roman"/>
          <w:sz w:val="24"/>
          <w:szCs w:val="24"/>
        </w:rPr>
        <w:t xml:space="preserve"> </w:t>
      </w:r>
      <w:r w:rsidR="007A61B6" w:rsidRPr="004E2E14">
        <w:rPr>
          <w:rFonts w:ascii="Times New Roman" w:hAnsi="Times New Roman" w:cs="Times New Roman"/>
          <w:sz w:val="24"/>
          <w:szCs w:val="24"/>
        </w:rPr>
        <w:t xml:space="preserve">as </w:t>
      </w:r>
      <w:r w:rsidR="00550E51" w:rsidRPr="004E2E14">
        <w:rPr>
          <w:rFonts w:ascii="Times New Roman" w:hAnsi="Times New Roman" w:cs="Times New Roman"/>
          <w:sz w:val="24"/>
          <w:szCs w:val="24"/>
        </w:rPr>
        <w:t>recognized</w:t>
      </w:r>
      <w:r w:rsidR="007A61B6" w:rsidRPr="004E2E14">
        <w:rPr>
          <w:rFonts w:ascii="Times New Roman" w:hAnsi="Times New Roman" w:cs="Times New Roman"/>
          <w:sz w:val="24"/>
          <w:szCs w:val="24"/>
        </w:rPr>
        <w:t xml:space="preserve"> in the case law of the CJ</w:t>
      </w:r>
      <w:r w:rsidR="00D91B0F" w:rsidRPr="004E2E14">
        <w:rPr>
          <w:rFonts w:ascii="Times New Roman" w:hAnsi="Times New Roman" w:cs="Times New Roman"/>
          <w:sz w:val="24"/>
          <w:szCs w:val="24"/>
        </w:rPr>
        <w:t>EU</w:t>
      </w:r>
      <w:r w:rsidR="007A61B6" w:rsidRPr="004E2E14">
        <w:rPr>
          <w:rFonts w:ascii="Times New Roman" w:hAnsi="Times New Roman" w:cs="Times New Roman"/>
          <w:sz w:val="24"/>
          <w:szCs w:val="24"/>
        </w:rPr>
        <w:t xml:space="preserve">. </w:t>
      </w:r>
      <w:r w:rsidR="00BE04F0" w:rsidRPr="004E2E14">
        <w:rPr>
          <w:rFonts w:ascii="Times New Roman" w:hAnsi="Times New Roman" w:cs="Times New Roman"/>
          <w:sz w:val="24"/>
          <w:szCs w:val="24"/>
        </w:rPr>
        <w:t xml:space="preserve">The </w:t>
      </w:r>
      <w:r w:rsidR="00D91B0F" w:rsidRPr="004E2E14">
        <w:rPr>
          <w:rFonts w:ascii="Times New Roman" w:hAnsi="Times New Roman" w:cs="Times New Roman"/>
          <w:sz w:val="24"/>
          <w:szCs w:val="24"/>
        </w:rPr>
        <w:t>CJEU</w:t>
      </w:r>
      <w:r w:rsidR="00BE04F0" w:rsidRPr="004E2E14">
        <w:rPr>
          <w:rFonts w:ascii="Times New Roman" w:hAnsi="Times New Roman" w:cs="Times New Roman"/>
          <w:sz w:val="24"/>
          <w:szCs w:val="24"/>
        </w:rPr>
        <w:t xml:space="preserve"> has </w:t>
      </w:r>
      <w:r w:rsidR="00550E51" w:rsidRPr="004E2E14">
        <w:rPr>
          <w:rFonts w:ascii="Times New Roman" w:hAnsi="Times New Roman" w:cs="Times New Roman"/>
          <w:sz w:val="24"/>
          <w:szCs w:val="24"/>
        </w:rPr>
        <w:t>recognized</w:t>
      </w:r>
      <w:r w:rsidR="00BE04F0" w:rsidRPr="004E2E14">
        <w:rPr>
          <w:rFonts w:ascii="Times New Roman" w:hAnsi="Times New Roman" w:cs="Times New Roman"/>
          <w:sz w:val="24"/>
          <w:szCs w:val="24"/>
        </w:rPr>
        <w:t xml:space="preserve"> that a Council for the Judiciary can constitute a safeguard for judicial independence provided that such </w:t>
      </w:r>
      <w:r w:rsidR="005939A6">
        <w:rPr>
          <w:rFonts w:ascii="Times New Roman" w:hAnsi="Times New Roman" w:cs="Times New Roman"/>
          <w:sz w:val="24"/>
          <w:szCs w:val="24"/>
        </w:rPr>
        <w:t xml:space="preserve">a </w:t>
      </w:r>
      <w:r w:rsidR="00BE04F0" w:rsidRPr="004E2E14">
        <w:rPr>
          <w:rFonts w:ascii="Times New Roman" w:hAnsi="Times New Roman" w:cs="Times New Roman"/>
          <w:sz w:val="24"/>
          <w:szCs w:val="24"/>
        </w:rPr>
        <w:t>body is sufficiently independent from the executive and legislative powers and from the body to which it is submitting its opinion</w:t>
      </w:r>
      <w:r w:rsidR="00DA39EB" w:rsidRPr="004E2E14">
        <w:rPr>
          <w:rFonts w:ascii="Times New Roman" w:hAnsi="Times New Roman" w:cs="Times New Roman"/>
          <w:sz w:val="24"/>
          <w:szCs w:val="24"/>
        </w:rPr>
        <w:t>. Also,</w:t>
      </w:r>
      <w:r w:rsidR="00252F76" w:rsidRPr="004E2E14">
        <w:rPr>
          <w:rFonts w:ascii="Times New Roman" w:hAnsi="Times New Roman" w:cs="Times New Roman"/>
          <w:sz w:val="24"/>
          <w:szCs w:val="24"/>
        </w:rPr>
        <w:t xml:space="preserve"> </w:t>
      </w:r>
      <w:r w:rsidR="00DA39EB" w:rsidRPr="004E2E14">
        <w:rPr>
          <w:rFonts w:ascii="Times New Roman" w:hAnsi="Times New Roman" w:cs="Times New Roman"/>
          <w:sz w:val="24"/>
          <w:szCs w:val="24"/>
        </w:rPr>
        <w:t xml:space="preserve">such </w:t>
      </w:r>
      <w:r w:rsidR="003A5CB4">
        <w:rPr>
          <w:rFonts w:ascii="Times New Roman" w:hAnsi="Times New Roman" w:cs="Times New Roman"/>
          <w:sz w:val="24"/>
          <w:szCs w:val="24"/>
        </w:rPr>
        <w:t xml:space="preserve">a </w:t>
      </w:r>
      <w:r w:rsidR="00DA39EB" w:rsidRPr="004E2E14">
        <w:rPr>
          <w:rFonts w:ascii="Times New Roman" w:hAnsi="Times New Roman" w:cs="Times New Roman"/>
          <w:sz w:val="24"/>
          <w:szCs w:val="24"/>
        </w:rPr>
        <w:t xml:space="preserve">Council for the Judiciary </w:t>
      </w:r>
      <w:r w:rsidR="00252F76" w:rsidRPr="004E2E14">
        <w:rPr>
          <w:rFonts w:ascii="Times New Roman" w:hAnsi="Times New Roman" w:cs="Times New Roman"/>
          <w:sz w:val="24"/>
          <w:szCs w:val="24"/>
        </w:rPr>
        <w:t xml:space="preserve">should be provided with financial resources to function in an effective way and fulfil </w:t>
      </w:r>
      <w:r w:rsidR="005939A6">
        <w:rPr>
          <w:rFonts w:ascii="Times New Roman" w:hAnsi="Times New Roman" w:cs="Times New Roman"/>
          <w:sz w:val="24"/>
          <w:szCs w:val="24"/>
        </w:rPr>
        <w:t>its</w:t>
      </w:r>
      <w:r w:rsidR="00252F76" w:rsidRPr="004E2E14">
        <w:rPr>
          <w:rFonts w:ascii="Times New Roman" w:hAnsi="Times New Roman" w:cs="Times New Roman"/>
          <w:sz w:val="24"/>
          <w:szCs w:val="24"/>
        </w:rPr>
        <w:t xml:space="preserve"> mandates</w:t>
      </w:r>
      <w:r w:rsidR="00BE04F0" w:rsidRPr="004E2E14">
        <w:rPr>
          <w:rFonts w:ascii="Times New Roman" w:hAnsi="Times New Roman" w:cs="Times New Roman"/>
          <w:sz w:val="24"/>
          <w:szCs w:val="24"/>
        </w:rPr>
        <w:t>.</w:t>
      </w:r>
      <w:r w:rsidR="00BE04F0" w:rsidRPr="004E2E14">
        <w:rPr>
          <w:rStyle w:val="Refdenotaalpie"/>
          <w:rFonts w:ascii="Times New Roman" w:hAnsi="Times New Roman" w:cs="Times New Roman"/>
          <w:sz w:val="24"/>
          <w:szCs w:val="24"/>
        </w:rPr>
        <w:footnoteReference w:id="92"/>
      </w:r>
      <w:r w:rsidR="00252F76" w:rsidRPr="004E2E14">
        <w:rPr>
          <w:rFonts w:ascii="Times New Roman" w:hAnsi="Times New Roman" w:cs="Times New Roman"/>
          <w:sz w:val="24"/>
          <w:szCs w:val="24"/>
        </w:rPr>
        <w:t xml:space="preserve"> </w:t>
      </w:r>
      <w:r w:rsidR="007A61B6" w:rsidRPr="004E2E14">
        <w:rPr>
          <w:rFonts w:ascii="Times New Roman" w:hAnsi="Times New Roman" w:cs="Times New Roman"/>
          <w:sz w:val="24"/>
          <w:szCs w:val="24"/>
        </w:rPr>
        <w:t>They can act as a buffer between the judiciary and</w:t>
      </w:r>
      <w:r w:rsidR="00252F76" w:rsidRPr="004E2E14">
        <w:rPr>
          <w:rFonts w:ascii="Times New Roman" w:hAnsi="Times New Roman" w:cs="Times New Roman"/>
          <w:sz w:val="24"/>
          <w:szCs w:val="24"/>
        </w:rPr>
        <w:t xml:space="preserve"> </w:t>
      </w:r>
      <w:r w:rsidR="007A61B6" w:rsidRPr="004E2E14">
        <w:rPr>
          <w:rFonts w:ascii="Times New Roman" w:hAnsi="Times New Roman" w:cs="Times New Roman"/>
          <w:sz w:val="24"/>
          <w:szCs w:val="24"/>
        </w:rPr>
        <w:t>the other branches of power in matters such as the appointment and career of judges, as well as their role in the management of the justice system</w:t>
      </w:r>
      <w:r w:rsidR="00252F76" w:rsidRPr="004E2E14">
        <w:rPr>
          <w:rFonts w:ascii="Times New Roman" w:hAnsi="Times New Roman" w:cs="Times New Roman"/>
          <w:sz w:val="24"/>
          <w:szCs w:val="24"/>
        </w:rPr>
        <w:t>.</w:t>
      </w:r>
      <w:r w:rsidR="00573E6D" w:rsidRPr="004E2E14">
        <w:rPr>
          <w:rStyle w:val="Refdenotaalpie"/>
          <w:rFonts w:ascii="Times New Roman" w:hAnsi="Times New Roman" w:cs="Times New Roman"/>
          <w:sz w:val="24"/>
          <w:szCs w:val="24"/>
        </w:rPr>
        <w:footnoteReference w:id="93"/>
      </w:r>
      <w:r w:rsidR="00C758FD" w:rsidRPr="004E2E14">
        <w:rPr>
          <w:rFonts w:ascii="Times New Roman" w:hAnsi="Times New Roman" w:cs="Times New Roman"/>
          <w:sz w:val="24"/>
          <w:szCs w:val="24"/>
        </w:rPr>
        <w:t xml:space="preserve"> </w:t>
      </w:r>
      <w:r w:rsidR="00AC727A" w:rsidRPr="004E2E14">
        <w:rPr>
          <w:rFonts w:ascii="Times New Roman" w:hAnsi="Times New Roman" w:cs="Times New Roman"/>
          <w:sz w:val="24"/>
          <w:szCs w:val="24"/>
        </w:rPr>
        <w:t xml:space="preserve">These councils already exist in most </w:t>
      </w:r>
      <w:r w:rsidR="00062F6C">
        <w:rPr>
          <w:rFonts w:ascii="Times New Roman" w:hAnsi="Times New Roman" w:cs="Times New Roman"/>
          <w:sz w:val="24"/>
          <w:szCs w:val="24"/>
        </w:rPr>
        <w:t>Member States</w:t>
      </w:r>
      <w:r w:rsidR="00AC727A" w:rsidRPr="004E2E14">
        <w:rPr>
          <w:rFonts w:ascii="Times New Roman" w:hAnsi="Times New Roman" w:cs="Times New Roman"/>
          <w:sz w:val="24"/>
          <w:szCs w:val="24"/>
        </w:rPr>
        <w:t>, but in many</w:t>
      </w:r>
      <w:r w:rsidR="005939A6">
        <w:rPr>
          <w:rFonts w:ascii="Times New Roman" w:hAnsi="Times New Roman" w:cs="Times New Roman"/>
          <w:sz w:val="24"/>
          <w:szCs w:val="24"/>
        </w:rPr>
        <w:t>,</w:t>
      </w:r>
      <w:r w:rsidR="00AC727A" w:rsidRPr="004E2E14">
        <w:rPr>
          <w:rFonts w:ascii="Times New Roman" w:hAnsi="Times New Roman" w:cs="Times New Roman"/>
          <w:sz w:val="24"/>
          <w:szCs w:val="24"/>
        </w:rPr>
        <w:t xml:space="preserve"> they do not meet the required standards of independence. </w:t>
      </w:r>
      <w:r w:rsidR="00C00D8F" w:rsidRPr="004E2E14">
        <w:rPr>
          <w:rFonts w:ascii="Times New Roman" w:hAnsi="Times New Roman" w:cs="Times New Roman"/>
          <w:sz w:val="24"/>
          <w:szCs w:val="24"/>
        </w:rPr>
        <w:t>Therefore,</w:t>
      </w:r>
      <w:r w:rsidR="00AC727A" w:rsidRPr="004E2E14">
        <w:rPr>
          <w:rFonts w:ascii="Times New Roman" w:hAnsi="Times New Roman" w:cs="Times New Roman"/>
          <w:sz w:val="24"/>
          <w:szCs w:val="24"/>
        </w:rPr>
        <w:t xml:space="preserve"> the Commission has been </w:t>
      </w:r>
      <w:r w:rsidR="00E975C8" w:rsidRPr="004E2E14">
        <w:rPr>
          <w:rFonts w:ascii="Times New Roman" w:hAnsi="Times New Roman" w:cs="Times New Roman"/>
          <w:sz w:val="24"/>
          <w:szCs w:val="24"/>
        </w:rPr>
        <w:t>highly active</w:t>
      </w:r>
      <w:r w:rsidR="00AC727A" w:rsidRPr="004E2E14">
        <w:rPr>
          <w:rFonts w:ascii="Times New Roman" w:hAnsi="Times New Roman" w:cs="Times New Roman"/>
          <w:sz w:val="24"/>
          <w:szCs w:val="24"/>
        </w:rPr>
        <w:t xml:space="preserve"> in issuing guidelines, communications</w:t>
      </w:r>
      <w:r w:rsidR="005939A6">
        <w:rPr>
          <w:rFonts w:ascii="Times New Roman" w:hAnsi="Times New Roman" w:cs="Times New Roman"/>
          <w:sz w:val="24"/>
          <w:szCs w:val="24"/>
        </w:rPr>
        <w:t>,</w:t>
      </w:r>
      <w:r w:rsidR="00AC727A" w:rsidRPr="004E2E14">
        <w:rPr>
          <w:rFonts w:ascii="Times New Roman" w:hAnsi="Times New Roman" w:cs="Times New Roman"/>
          <w:sz w:val="24"/>
          <w:szCs w:val="24"/>
        </w:rPr>
        <w:t xml:space="preserve"> and recommendations on the subject, and has even taken recourse to the CJ</w:t>
      </w:r>
      <w:r w:rsidR="00DA39EB" w:rsidRPr="004E2E14">
        <w:rPr>
          <w:rFonts w:ascii="Times New Roman" w:hAnsi="Times New Roman" w:cs="Times New Roman"/>
          <w:sz w:val="24"/>
          <w:szCs w:val="24"/>
        </w:rPr>
        <w:t>EU</w:t>
      </w:r>
      <w:r w:rsidR="00AC727A" w:rsidRPr="004E2E14">
        <w:rPr>
          <w:rFonts w:ascii="Times New Roman" w:hAnsi="Times New Roman" w:cs="Times New Roman"/>
          <w:sz w:val="24"/>
          <w:szCs w:val="24"/>
        </w:rPr>
        <w:t xml:space="preserve"> when necessary.</w:t>
      </w:r>
    </w:p>
    <w:p w14:paraId="538B7845" w14:textId="7D76C798" w:rsidR="001F7FD0" w:rsidRDefault="0014371F"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Secondly, </w:t>
      </w:r>
      <w:r w:rsidR="009E45F1" w:rsidRPr="004E2E14">
        <w:rPr>
          <w:rFonts w:ascii="Times New Roman" w:hAnsi="Times New Roman" w:cs="Times New Roman"/>
          <w:sz w:val="24"/>
          <w:szCs w:val="24"/>
        </w:rPr>
        <w:t>it is</w:t>
      </w:r>
      <w:r w:rsidR="003021E0" w:rsidRPr="004E2E14">
        <w:rPr>
          <w:rFonts w:ascii="Times New Roman" w:hAnsi="Times New Roman" w:cs="Times New Roman"/>
          <w:sz w:val="24"/>
          <w:szCs w:val="24"/>
        </w:rPr>
        <w:t xml:space="preserve"> time that </w:t>
      </w:r>
      <w:r w:rsidR="00AE2A46" w:rsidRPr="004E2E14">
        <w:rPr>
          <w:rFonts w:ascii="Times New Roman" w:hAnsi="Times New Roman" w:cs="Times New Roman"/>
          <w:sz w:val="24"/>
          <w:szCs w:val="24"/>
        </w:rPr>
        <w:t>the EU</w:t>
      </w:r>
      <w:r w:rsidR="003021E0" w:rsidRPr="004E2E14">
        <w:rPr>
          <w:rFonts w:ascii="Times New Roman" w:hAnsi="Times New Roman" w:cs="Times New Roman"/>
          <w:sz w:val="24"/>
          <w:szCs w:val="24"/>
        </w:rPr>
        <w:t xml:space="preserve"> and its institutions </w:t>
      </w:r>
      <w:r w:rsidR="002A0DFA" w:rsidRPr="004E2E14">
        <w:rPr>
          <w:rFonts w:ascii="Times New Roman" w:hAnsi="Times New Roman" w:cs="Times New Roman"/>
          <w:sz w:val="24"/>
          <w:szCs w:val="24"/>
        </w:rPr>
        <w:t>take serious</w:t>
      </w:r>
      <w:r w:rsidR="00023D7D">
        <w:rPr>
          <w:rFonts w:ascii="Times New Roman" w:hAnsi="Times New Roman" w:cs="Times New Roman"/>
          <w:sz w:val="24"/>
          <w:szCs w:val="24"/>
        </w:rPr>
        <w:t>,</w:t>
      </w:r>
      <w:r w:rsidR="002A0DFA" w:rsidRPr="004E2E14">
        <w:rPr>
          <w:rFonts w:ascii="Times New Roman" w:hAnsi="Times New Roman" w:cs="Times New Roman"/>
          <w:sz w:val="24"/>
          <w:szCs w:val="24"/>
        </w:rPr>
        <w:t xml:space="preserve"> </w:t>
      </w:r>
      <w:r w:rsidR="00211F11" w:rsidRPr="004E2E14">
        <w:rPr>
          <w:rFonts w:ascii="Times New Roman" w:hAnsi="Times New Roman" w:cs="Times New Roman"/>
          <w:sz w:val="24"/>
          <w:szCs w:val="24"/>
        </w:rPr>
        <w:t>assertive,</w:t>
      </w:r>
      <w:r w:rsidR="002A0DFA" w:rsidRPr="004E2E14">
        <w:rPr>
          <w:rFonts w:ascii="Times New Roman" w:hAnsi="Times New Roman" w:cs="Times New Roman"/>
          <w:sz w:val="24"/>
          <w:szCs w:val="24"/>
        </w:rPr>
        <w:t xml:space="preserve"> </w:t>
      </w:r>
      <w:r w:rsidR="00023D7D">
        <w:rPr>
          <w:rFonts w:ascii="Times New Roman" w:hAnsi="Times New Roman" w:cs="Times New Roman"/>
          <w:sz w:val="24"/>
          <w:szCs w:val="24"/>
        </w:rPr>
        <w:t xml:space="preserve">and rapid </w:t>
      </w:r>
      <w:r w:rsidR="002A0DFA" w:rsidRPr="004E2E14">
        <w:rPr>
          <w:rFonts w:ascii="Times New Roman" w:hAnsi="Times New Roman" w:cs="Times New Roman"/>
          <w:sz w:val="24"/>
          <w:szCs w:val="24"/>
        </w:rPr>
        <w:t xml:space="preserve">action on this issue, </w:t>
      </w:r>
      <w:r w:rsidR="008B6B31" w:rsidRPr="004E2E14">
        <w:rPr>
          <w:rFonts w:ascii="Times New Roman" w:hAnsi="Times New Roman" w:cs="Times New Roman"/>
          <w:sz w:val="24"/>
          <w:szCs w:val="24"/>
        </w:rPr>
        <w:t>by strongly punishing</w:t>
      </w:r>
      <w:r w:rsidR="002A0DFA" w:rsidRPr="004E2E14">
        <w:rPr>
          <w:rFonts w:ascii="Times New Roman" w:hAnsi="Times New Roman" w:cs="Times New Roman"/>
          <w:sz w:val="24"/>
          <w:szCs w:val="24"/>
        </w:rPr>
        <w:t xml:space="preserve"> the </w:t>
      </w:r>
      <w:r w:rsidR="00062F6C">
        <w:rPr>
          <w:rFonts w:ascii="Times New Roman" w:hAnsi="Times New Roman" w:cs="Times New Roman"/>
          <w:sz w:val="24"/>
          <w:szCs w:val="24"/>
        </w:rPr>
        <w:t>Member States</w:t>
      </w:r>
      <w:r w:rsidR="002A0DFA" w:rsidRPr="004E2E14">
        <w:rPr>
          <w:rFonts w:ascii="Times New Roman" w:hAnsi="Times New Roman" w:cs="Times New Roman"/>
          <w:sz w:val="24"/>
          <w:szCs w:val="24"/>
        </w:rPr>
        <w:t xml:space="preserve"> that </w:t>
      </w:r>
      <w:r w:rsidR="008B6B31" w:rsidRPr="004E2E14">
        <w:rPr>
          <w:rFonts w:ascii="Times New Roman" w:hAnsi="Times New Roman" w:cs="Times New Roman"/>
          <w:sz w:val="24"/>
          <w:szCs w:val="24"/>
        </w:rPr>
        <w:t>repeatedly and deliberately undermine judicial independence and</w:t>
      </w:r>
      <w:r w:rsidR="00AE175D" w:rsidRPr="004E2E14">
        <w:rPr>
          <w:rFonts w:ascii="Times New Roman" w:hAnsi="Times New Roman" w:cs="Times New Roman"/>
          <w:sz w:val="24"/>
          <w:szCs w:val="24"/>
        </w:rPr>
        <w:t xml:space="preserve"> </w:t>
      </w:r>
      <w:r w:rsidR="00211F11" w:rsidRPr="004E2E14">
        <w:rPr>
          <w:rFonts w:ascii="Times New Roman" w:hAnsi="Times New Roman" w:cs="Times New Roman"/>
          <w:sz w:val="24"/>
          <w:szCs w:val="24"/>
        </w:rPr>
        <w:t>respect</w:t>
      </w:r>
      <w:r w:rsidR="008B6B31" w:rsidRPr="004E2E14">
        <w:rPr>
          <w:rFonts w:ascii="Times New Roman" w:hAnsi="Times New Roman" w:cs="Times New Roman"/>
          <w:sz w:val="24"/>
          <w:szCs w:val="24"/>
        </w:rPr>
        <w:t xml:space="preserve"> for the </w:t>
      </w:r>
      <w:r w:rsidR="00062F6C">
        <w:rPr>
          <w:rFonts w:ascii="Times New Roman" w:hAnsi="Times New Roman" w:cs="Times New Roman"/>
          <w:sz w:val="24"/>
          <w:szCs w:val="24"/>
        </w:rPr>
        <w:t>Rule of Law</w:t>
      </w:r>
      <w:r w:rsidR="008B6B31" w:rsidRPr="004E2E14">
        <w:rPr>
          <w:rFonts w:ascii="Times New Roman" w:hAnsi="Times New Roman" w:cs="Times New Roman"/>
          <w:sz w:val="24"/>
          <w:szCs w:val="24"/>
        </w:rPr>
        <w:t>.</w:t>
      </w:r>
      <w:r w:rsidR="00576630" w:rsidRPr="004E2E14">
        <w:rPr>
          <w:rFonts w:ascii="Times New Roman" w:hAnsi="Times New Roman" w:cs="Times New Roman"/>
          <w:sz w:val="24"/>
          <w:szCs w:val="24"/>
        </w:rPr>
        <w:t xml:space="preserve"> </w:t>
      </w:r>
    </w:p>
    <w:p w14:paraId="244AD0F9" w14:textId="77777777" w:rsidR="00A71AEF" w:rsidRDefault="00A71AEF" w:rsidP="001D12B5">
      <w:pPr>
        <w:spacing w:after="0" w:line="240" w:lineRule="auto"/>
        <w:jc w:val="both"/>
        <w:rPr>
          <w:rFonts w:ascii="Times New Roman" w:hAnsi="Times New Roman" w:cs="Times New Roman"/>
          <w:sz w:val="24"/>
          <w:szCs w:val="24"/>
        </w:rPr>
      </w:pPr>
    </w:p>
    <w:p w14:paraId="441472C7" w14:textId="77777777" w:rsidR="00023D7D" w:rsidRDefault="00A71AEF"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EU legal and institutional mechanisms</w:t>
      </w:r>
    </w:p>
    <w:p w14:paraId="40793DAA" w14:textId="5BEC7D24" w:rsidR="00C667D4" w:rsidRPr="004E2E14" w:rsidRDefault="001A5529"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The role of the </w:t>
      </w:r>
      <w:r w:rsidR="00566BFF" w:rsidRPr="00566BFF">
        <w:rPr>
          <w:rFonts w:ascii="Times New Roman" w:hAnsi="Times New Roman" w:cs="Times New Roman"/>
          <w:sz w:val="24"/>
          <w:szCs w:val="24"/>
        </w:rPr>
        <w:t>CJEU</w:t>
      </w:r>
      <w:r w:rsidRPr="004E2E14">
        <w:rPr>
          <w:rFonts w:ascii="Times New Roman" w:hAnsi="Times New Roman" w:cs="Times New Roman"/>
          <w:sz w:val="24"/>
          <w:szCs w:val="24"/>
        </w:rPr>
        <w:t xml:space="preserve"> has been </w:t>
      </w:r>
      <w:r w:rsidR="00566BFF">
        <w:rPr>
          <w:rFonts w:ascii="Times New Roman" w:hAnsi="Times New Roman" w:cs="Times New Roman"/>
          <w:sz w:val="24"/>
          <w:szCs w:val="24"/>
        </w:rPr>
        <w:t>crucial</w:t>
      </w:r>
      <w:r w:rsidRPr="004E2E14">
        <w:rPr>
          <w:rFonts w:ascii="Times New Roman" w:hAnsi="Times New Roman" w:cs="Times New Roman"/>
          <w:sz w:val="24"/>
          <w:szCs w:val="24"/>
        </w:rPr>
        <w:t xml:space="preserve"> in upholding the principles of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National courts </w:t>
      </w:r>
      <w:r w:rsidR="00024F3B" w:rsidRPr="004E2E14">
        <w:rPr>
          <w:rFonts w:ascii="Times New Roman" w:hAnsi="Times New Roman" w:cs="Times New Roman"/>
          <w:sz w:val="24"/>
          <w:szCs w:val="24"/>
        </w:rPr>
        <w:t>may (in some cases</w:t>
      </w:r>
      <w:r w:rsidR="00494137">
        <w:rPr>
          <w:rFonts w:ascii="Times New Roman" w:hAnsi="Times New Roman" w:cs="Times New Roman"/>
          <w:sz w:val="24"/>
          <w:szCs w:val="24"/>
        </w:rPr>
        <w:t>,</w:t>
      </w:r>
      <w:r w:rsidR="00024F3B" w:rsidRPr="004E2E14">
        <w:rPr>
          <w:rFonts w:ascii="Times New Roman" w:hAnsi="Times New Roman" w:cs="Times New Roman"/>
          <w:sz w:val="24"/>
          <w:szCs w:val="24"/>
        </w:rPr>
        <w:t xml:space="preserve"> they are even obliged)</w:t>
      </w:r>
      <w:r w:rsidRPr="004E2E14">
        <w:rPr>
          <w:rFonts w:ascii="Times New Roman" w:hAnsi="Times New Roman" w:cs="Times New Roman"/>
          <w:sz w:val="24"/>
          <w:szCs w:val="24"/>
        </w:rPr>
        <w:t xml:space="preserve"> </w:t>
      </w:r>
      <w:r w:rsidR="00024F3B" w:rsidRPr="004E2E14">
        <w:rPr>
          <w:rFonts w:ascii="Times New Roman" w:hAnsi="Times New Roman" w:cs="Times New Roman"/>
          <w:sz w:val="24"/>
          <w:szCs w:val="24"/>
        </w:rPr>
        <w:t>submit</w:t>
      </w:r>
      <w:r w:rsidRPr="004E2E14">
        <w:rPr>
          <w:rFonts w:ascii="Times New Roman" w:hAnsi="Times New Roman" w:cs="Times New Roman"/>
          <w:sz w:val="24"/>
          <w:szCs w:val="24"/>
        </w:rPr>
        <w:t xml:space="preserve"> to the </w:t>
      </w:r>
      <w:r w:rsidR="00566BFF" w:rsidRPr="00566BFF">
        <w:rPr>
          <w:rFonts w:ascii="Times New Roman" w:hAnsi="Times New Roman" w:cs="Times New Roman"/>
          <w:sz w:val="24"/>
          <w:szCs w:val="24"/>
        </w:rPr>
        <w:t xml:space="preserve">CJEU </w:t>
      </w:r>
      <w:r w:rsidRPr="004E2E14">
        <w:rPr>
          <w:rFonts w:ascii="Times New Roman" w:hAnsi="Times New Roman" w:cs="Times New Roman"/>
          <w:sz w:val="24"/>
          <w:szCs w:val="24"/>
        </w:rPr>
        <w:t xml:space="preserve">a preliminary ruling (Article 267 TEU) on the interpretation of provisions of European Union law. </w:t>
      </w:r>
      <w:r w:rsidR="00024F3B" w:rsidRPr="004E2E14">
        <w:rPr>
          <w:rFonts w:ascii="Times New Roman" w:hAnsi="Times New Roman" w:cs="Times New Roman"/>
          <w:sz w:val="24"/>
          <w:szCs w:val="24"/>
        </w:rPr>
        <w:t>These j</w:t>
      </w:r>
      <w:r w:rsidRPr="004E2E14">
        <w:rPr>
          <w:rFonts w:ascii="Times New Roman" w:hAnsi="Times New Roman" w:cs="Times New Roman"/>
          <w:sz w:val="24"/>
          <w:szCs w:val="24"/>
        </w:rPr>
        <w:t xml:space="preserve">udgments of the </w:t>
      </w:r>
      <w:r w:rsidR="00566BFF" w:rsidRPr="00566BFF">
        <w:rPr>
          <w:rFonts w:ascii="Times New Roman" w:hAnsi="Times New Roman" w:cs="Times New Roman"/>
          <w:sz w:val="24"/>
          <w:szCs w:val="24"/>
        </w:rPr>
        <w:t>CJEU</w:t>
      </w:r>
      <w:r w:rsidRPr="004E2E14">
        <w:rPr>
          <w:rFonts w:ascii="Times New Roman" w:hAnsi="Times New Roman" w:cs="Times New Roman"/>
          <w:sz w:val="24"/>
          <w:szCs w:val="24"/>
        </w:rPr>
        <w:t xml:space="preserve"> are binding not only on the courts which </w:t>
      </w:r>
      <w:r w:rsidR="00566BFF" w:rsidRPr="004E2E14">
        <w:rPr>
          <w:rFonts w:ascii="Times New Roman" w:hAnsi="Times New Roman" w:cs="Times New Roman"/>
          <w:sz w:val="24"/>
          <w:szCs w:val="24"/>
        </w:rPr>
        <w:t>referred</w:t>
      </w:r>
      <w:r w:rsidRPr="004E2E14">
        <w:rPr>
          <w:rFonts w:ascii="Times New Roman" w:hAnsi="Times New Roman" w:cs="Times New Roman"/>
          <w:sz w:val="24"/>
          <w:szCs w:val="24"/>
        </w:rPr>
        <w:t xml:space="preserve"> </w:t>
      </w:r>
      <w:r w:rsidR="003A5CB4" w:rsidRPr="004E2E14">
        <w:rPr>
          <w:rFonts w:ascii="Times New Roman" w:hAnsi="Times New Roman" w:cs="Times New Roman"/>
          <w:sz w:val="24"/>
          <w:szCs w:val="24"/>
        </w:rPr>
        <w:t>to</w:t>
      </w:r>
      <w:r w:rsidRPr="004E2E14">
        <w:rPr>
          <w:rFonts w:ascii="Times New Roman" w:hAnsi="Times New Roman" w:cs="Times New Roman"/>
          <w:sz w:val="24"/>
          <w:szCs w:val="24"/>
        </w:rPr>
        <w:t xml:space="preserve"> a preliminary ruling but also on other courts </w:t>
      </w:r>
      <w:r w:rsidR="00707B3B" w:rsidRPr="004E2E14">
        <w:rPr>
          <w:rFonts w:ascii="Times New Roman" w:hAnsi="Times New Roman" w:cs="Times New Roman"/>
          <w:sz w:val="24"/>
          <w:szCs w:val="24"/>
        </w:rPr>
        <w:t>as</w:t>
      </w:r>
      <w:r w:rsidRPr="004E2E14">
        <w:rPr>
          <w:rFonts w:ascii="Times New Roman" w:hAnsi="Times New Roman" w:cs="Times New Roman"/>
          <w:sz w:val="24"/>
          <w:szCs w:val="24"/>
        </w:rPr>
        <w:t xml:space="preserve"> far as they lay down the interpretation of the provisions in question</w:t>
      </w:r>
      <w:r w:rsidR="00024F3B" w:rsidRPr="004E2E14">
        <w:rPr>
          <w:rFonts w:ascii="Times New Roman" w:hAnsi="Times New Roman" w:cs="Times New Roman"/>
          <w:sz w:val="24"/>
          <w:szCs w:val="24"/>
        </w:rPr>
        <w:t xml:space="preserve">. Failure to comply with them is considered a breach of EU law that may give rise to infringement </w:t>
      </w:r>
      <w:r w:rsidR="00C667D4" w:rsidRPr="004E2E14">
        <w:rPr>
          <w:rFonts w:ascii="Times New Roman" w:hAnsi="Times New Roman" w:cs="Times New Roman"/>
          <w:sz w:val="24"/>
          <w:szCs w:val="24"/>
        </w:rPr>
        <w:t xml:space="preserve">proceedings. </w:t>
      </w:r>
      <w:r w:rsidR="0059349D">
        <w:rPr>
          <w:rFonts w:ascii="Times New Roman" w:hAnsi="Times New Roman" w:cs="Times New Roman"/>
          <w:sz w:val="24"/>
          <w:szCs w:val="24"/>
        </w:rPr>
        <w:t xml:space="preserve">The </w:t>
      </w:r>
      <w:r w:rsidR="00566BFF" w:rsidRPr="00566BFF">
        <w:rPr>
          <w:rFonts w:ascii="Times New Roman" w:hAnsi="Times New Roman" w:cs="Times New Roman"/>
          <w:sz w:val="24"/>
          <w:szCs w:val="24"/>
        </w:rPr>
        <w:t>CJEU</w:t>
      </w:r>
      <w:r w:rsidR="0059349D">
        <w:rPr>
          <w:rFonts w:ascii="Times New Roman" w:hAnsi="Times New Roman" w:cs="Times New Roman"/>
          <w:sz w:val="24"/>
          <w:szCs w:val="24"/>
        </w:rPr>
        <w:t xml:space="preserve"> has ruled against Poland on several occasions </w:t>
      </w:r>
      <w:r w:rsidR="004C1B2B">
        <w:rPr>
          <w:rFonts w:ascii="Times New Roman" w:hAnsi="Times New Roman" w:cs="Times New Roman"/>
          <w:sz w:val="24"/>
          <w:szCs w:val="24"/>
        </w:rPr>
        <w:t>regarding</w:t>
      </w:r>
      <w:r w:rsidR="0059349D">
        <w:rPr>
          <w:rFonts w:ascii="Times New Roman" w:hAnsi="Times New Roman" w:cs="Times New Roman"/>
          <w:sz w:val="24"/>
          <w:szCs w:val="24"/>
        </w:rPr>
        <w:t xml:space="preserve"> its judicial reforms, including decisions on </w:t>
      </w:r>
      <w:r w:rsidR="0059349D">
        <w:rPr>
          <w:rFonts w:ascii="Times New Roman" w:hAnsi="Times New Roman" w:cs="Times New Roman"/>
          <w:sz w:val="24"/>
          <w:szCs w:val="24"/>
        </w:rPr>
        <w:lastRenderedPageBreak/>
        <w:t xml:space="preserve">the </w:t>
      </w:r>
      <w:r w:rsidR="00023D7D">
        <w:rPr>
          <w:rFonts w:ascii="Times New Roman" w:hAnsi="Times New Roman" w:cs="Times New Roman"/>
          <w:sz w:val="24"/>
          <w:szCs w:val="24"/>
        </w:rPr>
        <w:t>D</w:t>
      </w:r>
      <w:r w:rsidR="0059349D">
        <w:rPr>
          <w:rFonts w:ascii="Times New Roman" w:hAnsi="Times New Roman" w:cs="Times New Roman"/>
          <w:sz w:val="24"/>
          <w:szCs w:val="24"/>
        </w:rPr>
        <w:t xml:space="preserve">isciplinary </w:t>
      </w:r>
      <w:r w:rsidR="00023D7D">
        <w:rPr>
          <w:rFonts w:ascii="Times New Roman" w:hAnsi="Times New Roman" w:cs="Times New Roman"/>
          <w:sz w:val="24"/>
          <w:szCs w:val="24"/>
        </w:rPr>
        <w:t>C</w:t>
      </w:r>
      <w:r w:rsidR="0059349D">
        <w:rPr>
          <w:rFonts w:ascii="Times New Roman" w:hAnsi="Times New Roman" w:cs="Times New Roman"/>
          <w:sz w:val="24"/>
          <w:szCs w:val="24"/>
        </w:rPr>
        <w:t xml:space="preserve">hamber of </w:t>
      </w:r>
      <w:r w:rsidR="00023D7D">
        <w:rPr>
          <w:rFonts w:ascii="Times New Roman" w:hAnsi="Times New Roman" w:cs="Times New Roman"/>
          <w:sz w:val="24"/>
          <w:szCs w:val="24"/>
        </w:rPr>
        <w:t>J</w:t>
      </w:r>
      <w:r w:rsidR="0059349D">
        <w:rPr>
          <w:rFonts w:ascii="Times New Roman" w:hAnsi="Times New Roman" w:cs="Times New Roman"/>
          <w:sz w:val="24"/>
          <w:szCs w:val="24"/>
        </w:rPr>
        <w:t>udges, forcing Poland to suspend it and amend laws</w:t>
      </w:r>
      <w:r w:rsidR="004C1B2B">
        <w:rPr>
          <w:rFonts w:ascii="Times New Roman" w:hAnsi="Times New Roman" w:cs="Times New Roman"/>
          <w:sz w:val="24"/>
          <w:szCs w:val="24"/>
        </w:rPr>
        <w:t>.</w:t>
      </w:r>
      <w:r w:rsidR="00494137">
        <w:rPr>
          <w:rStyle w:val="Refdenotaalpie"/>
          <w:rFonts w:ascii="Times New Roman" w:hAnsi="Times New Roman" w:cs="Times New Roman"/>
          <w:sz w:val="24"/>
          <w:szCs w:val="24"/>
        </w:rPr>
        <w:footnoteReference w:id="94"/>
      </w:r>
      <w:r w:rsidR="004C1B2B">
        <w:rPr>
          <w:rFonts w:ascii="Times New Roman" w:hAnsi="Times New Roman" w:cs="Times New Roman"/>
          <w:sz w:val="24"/>
          <w:szCs w:val="24"/>
        </w:rPr>
        <w:t xml:space="preserve"> While the </w:t>
      </w:r>
      <w:r w:rsidR="00566BFF" w:rsidRPr="00566BFF">
        <w:rPr>
          <w:rFonts w:ascii="Times New Roman" w:hAnsi="Times New Roman" w:cs="Times New Roman"/>
          <w:sz w:val="24"/>
          <w:szCs w:val="24"/>
        </w:rPr>
        <w:t>CJEU</w:t>
      </w:r>
      <w:r w:rsidR="004C1B2B">
        <w:rPr>
          <w:rFonts w:ascii="Times New Roman" w:hAnsi="Times New Roman" w:cs="Times New Roman"/>
          <w:sz w:val="24"/>
          <w:szCs w:val="24"/>
        </w:rPr>
        <w:t xml:space="preserve">’s ruling is binding, enforcing </w:t>
      </w:r>
      <w:r w:rsidR="00566BFF">
        <w:rPr>
          <w:rFonts w:ascii="Times New Roman" w:hAnsi="Times New Roman" w:cs="Times New Roman"/>
          <w:sz w:val="24"/>
          <w:szCs w:val="24"/>
        </w:rPr>
        <w:t>it</w:t>
      </w:r>
      <w:r w:rsidR="004C1B2B">
        <w:rPr>
          <w:rFonts w:ascii="Times New Roman" w:hAnsi="Times New Roman" w:cs="Times New Roman"/>
          <w:sz w:val="24"/>
          <w:szCs w:val="24"/>
        </w:rPr>
        <w:t xml:space="preserve"> remains a challenge when national governments resist compliance. The </w:t>
      </w:r>
      <w:r w:rsidR="00566BFF" w:rsidRPr="00566BFF">
        <w:rPr>
          <w:rFonts w:ascii="Times New Roman" w:hAnsi="Times New Roman" w:cs="Times New Roman"/>
          <w:sz w:val="24"/>
          <w:szCs w:val="24"/>
        </w:rPr>
        <w:t>CJEU</w:t>
      </w:r>
      <w:r w:rsidR="004C1B2B">
        <w:rPr>
          <w:rFonts w:ascii="Times New Roman" w:hAnsi="Times New Roman" w:cs="Times New Roman"/>
          <w:sz w:val="24"/>
          <w:szCs w:val="24"/>
        </w:rPr>
        <w:t xml:space="preserve"> also imposed financial penalties on Poland for non-compliance. </w:t>
      </w:r>
      <w:r w:rsidR="00494137">
        <w:rPr>
          <w:rFonts w:ascii="Times New Roman" w:hAnsi="Times New Roman" w:cs="Times New Roman"/>
          <w:sz w:val="24"/>
          <w:szCs w:val="24"/>
        </w:rPr>
        <w:t xml:space="preserve">And has </w:t>
      </w:r>
      <w:r w:rsidR="00023D7D">
        <w:rPr>
          <w:rFonts w:ascii="Times New Roman" w:hAnsi="Times New Roman" w:cs="Times New Roman"/>
          <w:sz w:val="24"/>
          <w:szCs w:val="24"/>
        </w:rPr>
        <w:t>similarly</w:t>
      </w:r>
      <w:r w:rsidR="00494137">
        <w:rPr>
          <w:rFonts w:ascii="Times New Roman" w:hAnsi="Times New Roman" w:cs="Times New Roman"/>
          <w:sz w:val="24"/>
          <w:szCs w:val="24"/>
        </w:rPr>
        <w:t xml:space="preserve"> ruled against Hungary.</w:t>
      </w:r>
      <w:r w:rsidR="00494137">
        <w:rPr>
          <w:rStyle w:val="Refdenotaalpie"/>
          <w:rFonts w:ascii="Times New Roman" w:hAnsi="Times New Roman" w:cs="Times New Roman"/>
          <w:sz w:val="24"/>
          <w:szCs w:val="24"/>
        </w:rPr>
        <w:footnoteReference w:id="95"/>
      </w:r>
      <w:r w:rsidR="00494137">
        <w:rPr>
          <w:rFonts w:ascii="Times New Roman" w:hAnsi="Times New Roman" w:cs="Times New Roman"/>
          <w:sz w:val="24"/>
          <w:szCs w:val="24"/>
        </w:rPr>
        <w:t xml:space="preserve"> </w:t>
      </w:r>
      <w:r w:rsidR="00C667D4" w:rsidRPr="004E2E14">
        <w:rPr>
          <w:rFonts w:ascii="Times New Roman" w:hAnsi="Times New Roman" w:cs="Times New Roman"/>
          <w:sz w:val="24"/>
          <w:szCs w:val="24"/>
        </w:rPr>
        <w:t>However</w:t>
      </w:r>
      <w:r w:rsidR="00A71AEF">
        <w:rPr>
          <w:rFonts w:ascii="Times New Roman" w:hAnsi="Times New Roman" w:cs="Times New Roman"/>
          <w:sz w:val="24"/>
          <w:szCs w:val="24"/>
        </w:rPr>
        <w:t>,</w:t>
      </w:r>
      <w:r w:rsidR="00C667D4" w:rsidRPr="004E2E14">
        <w:rPr>
          <w:rFonts w:ascii="Times New Roman" w:hAnsi="Times New Roman" w:cs="Times New Roman"/>
          <w:sz w:val="24"/>
          <w:szCs w:val="24"/>
        </w:rPr>
        <w:t xml:space="preserve"> the</w:t>
      </w:r>
      <w:r w:rsidR="00316B59" w:rsidRPr="004E2E14">
        <w:rPr>
          <w:rFonts w:ascii="Times New Roman" w:hAnsi="Times New Roman" w:cs="Times New Roman"/>
          <w:sz w:val="24"/>
          <w:szCs w:val="24"/>
        </w:rPr>
        <w:t xml:space="preserve"> CJEU alone cannot solve the problem, although its efforts to do so are commendable. </w:t>
      </w:r>
    </w:p>
    <w:p w14:paraId="3322BD73" w14:textId="7B5C3CDD" w:rsidR="0031265A" w:rsidRDefault="0031265A" w:rsidP="001D12B5">
      <w:pPr>
        <w:pStyle w:val="Textonotapie"/>
        <w:jc w:val="both"/>
        <w:rPr>
          <w:rFonts w:ascii="Times New Roman" w:hAnsi="Times New Roman" w:cs="Times New Roman"/>
          <w:sz w:val="24"/>
          <w:szCs w:val="24"/>
        </w:rPr>
      </w:pPr>
      <w:r>
        <w:rPr>
          <w:rFonts w:ascii="Times New Roman" w:hAnsi="Times New Roman" w:cs="Times New Roman"/>
          <w:sz w:val="24"/>
          <w:szCs w:val="24"/>
        </w:rPr>
        <w:t xml:space="preserve">The European Parliament can adopt resolutions expressing concerns and demanding action against </w:t>
      </w:r>
      <w:r w:rsidR="00062F6C">
        <w:rPr>
          <w:rFonts w:ascii="Times New Roman" w:hAnsi="Times New Roman" w:cs="Times New Roman"/>
          <w:sz w:val="24"/>
          <w:szCs w:val="24"/>
        </w:rPr>
        <w:t>Rule of Law</w:t>
      </w:r>
      <w:r>
        <w:rPr>
          <w:rFonts w:ascii="Times New Roman" w:hAnsi="Times New Roman" w:cs="Times New Roman"/>
          <w:sz w:val="24"/>
          <w:szCs w:val="24"/>
        </w:rPr>
        <w:t xml:space="preserve"> violations. It has passed multiple resolutions condemning the actions of Poland and Hungary. While symbolic, these resolutions add political weight and pressure, encouraging the European Commission and Council to act. And, though not legally binding, these resolutions influence public opinion and signal the strong stance of the EU institutions on protecting democratic values. </w:t>
      </w:r>
    </w:p>
    <w:p w14:paraId="4B948C7E" w14:textId="5EE88BE1" w:rsidR="00574537" w:rsidRDefault="00576630" w:rsidP="001D12B5">
      <w:pPr>
        <w:pStyle w:val="Textonotapie"/>
        <w:jc w:val="both"/>
        <w:rPr>
          <w:rFonts w:ascii="Times New Roman" w:hAnsi="Times New Roman" w:cs="Times New Roman"/>
          <w:sz w:val="24"/>
          <w:szCs w:val="24"/>
        </w:rPr>
      </w:pPr>
      <w:r w:rsidRPr="004E2E14">
        <w:rPr>
          <w:rFonts w:ascii="Times New Roman" w:hAnsi="Times New Roman" w:cs="Times New Roman"/>
          <w:sz w:val="24"/>
          <w:szCs w:val="24"/>
        </w:rPr>
        <w:t xml:space="preserve">The European Parliament emphasized that it is the duty of the Commission </w:t>
      </w:r>
      <w:r w:rsidR="004C7C2D" w:rsidRPr="004E2E14">
        <w:rPr>
          <w:rFonts w:ascii="Times New Roman" w:hAnsi="Times New Roman" w:cs="Times New Roman"/>
          <w:sz w:val="24"/>
          <w:szCs w:val="24"/>
        </w:rPr>
        <w:t xml:space="preserve">as “guardian of the Treaties” </w:t>
      </w:r>
      <w:r w:rsidRPr="004E2E14">
        <w:rPr>
          <w:rFonts w:ascii="Times New Roman" w:hAnsi="Times New Roman" w:cs="Times New Roman"/>
          <w:sz w:val="24"/>
          <w:szCs w:val="24"/>
        </w:rPr>
        <w:t>to ensure the</w:t>
      </w:r>
      <w:r w:rsidR="004C7C2D" w:rsidRPr="004E2E14">
        <w:rPr>
          <w:rFonts w:ascii="Times New Roman" w:hAnsi="Times New Roman" w:cs="Times New Roman"/>
          <w:sz w:val="24"/>
          <w:szCs w:val="24"/>
        </w:rPr>
        <w:t>ir</w:t>
      </w:r>
      <w:r w:rsidRPr="004E2E14">
        <w:rPr>
          <w:rFonts w:ascii="Times New Roman" w:hAnsi="Times New Roman" w:cs="Times New Roman"/>
          <w:sz w:val="24"/>
          <w:szCs w:val="24"/>
        </w:rPr>
        <w:t xml:space="preserve"> application and </w:t>
      </w:r>
      <w:r w:rsidR="004C7C2D" w:rsidRPr="004E2E14">
        <w:rPr>
          <w:rFonts w:ascii="Times New Roman" w:hAnsi="Times New Roman" w:cs="Times New Roman"/>
          <w:sz w:val="24"/>
          <w:szCs w:val="24"/>
        </w:rPr>
        <w:t xml:space="preserve">of </w:t>
      </w:r>
      <w:r w:rsidRPr="004E2E14">
        <w:rPr>
          <w:rFonts w:ascii="Times New Roman" w:hAnsi="Times New Roman" w:cs="Times New Roman"/>
          <w:sz w:val="24"/>
          <w:szCs w:val="24"/>
        </w:rPr>
        <w:t>other pieces of EU laws</w:t>
      </w:r>
      <w:r w:rsidR="00A71AEF">
        <w:rPr>
          <w:rFonts w:ascii="Times New Roman" w:hAnsi="Times New Roman" w:cs="Times New Roman"/>
          <w:sz w:val="24"/>
          <w:szCs w:val="24"/>
        </w:rPr>
        <w:t>,</w:t>
      </w:r>
      <w:r w:rsidRPr="004E2E14">
        <w:rPr>
          <w:rFonts w:ascii="Times New Roman" w:hAnsi="Times New Roman" w:cs="Times New Roman"/>
          <w:sz w:val="24"/>
          <w:szCs w:val="24"/>
        </w:rPr>
        <w:t xml:space="preserve"> and the Commission must “abide by law, </w:t>
      </w:r>
      <w:r w:rsidRPr="004E2E14">
        <w:rPr>
          <w:rFonts w:ascii="Times New Roman" w:hAnsi="Times New Roman" w:cs="Times New Roman"/>
          <w:i/>
          <w:iCs/>
          <w:sz w:val="24"/>
          <w:szCs w:val="24"/>
        </w:rPr>
        <w:t>dura lex sed lex</w:t>
      </w:r>
      <w:r w:rsidR="00D86F4B" w:rsidRPr="004E2E14">
        <w:rPr>
          <w:rFonts w:ascii="Times New Roman" w:hAnsi="Times New Roman" w:cs="Times New Roman"/>
          <w:sz w:val="24"/>
          <w:szCs w:val="24"/>
        </w:rPr>
        <w:t>.”</w:t>
      </w:r>
      <w:r w:rsidRPr="004E2E14">
        <w:rPr>
          <w:rStyle w:val="Refdenotaalpie"/>
          <w:rFonts w:ascii="Times New Roman" w:hAnsi="Times New Roman" w:cs="Times New Roman"/>
          <w:sz w:val="24"/>
          <w:szCs w:val="24"/>
        </w:rPr>
        <w:footnoteReference w:id="96"/>
      </w:r>
      <w:r w:rsidR="003D4595" w:rsidRPr="004E2E14">
        <w:rPr>
          <w:rFonts w:ascii="Times New Roman" w:hAnsi="Times New Roman" w:cs="Times New Roman"/>
          <w:sz w:val="24"/>
          <w:szCs w:val="24"/>
        </w:rPr>
        <w:t xml:space="preserve"> </w:t>
      </w:r>
      <w:r w:rsidR="007F0E4E" w:rsidRPr="004E2E14">
        <w:rPr>
          <w:rFonts w:ascii="Times New Roman" w:hAnsi="Times New Roman" w:cs="Times New Roman"/>
          <w:sz w:val="24"/>
          <w:szCs w:val="24"/>
        </w:rPr>
        <w:t>However, the Commission has been managing this issue with tongs. It certainly has tools</w:t>
      </w:r>
      <w:r w:rsidR="00B322C7" w:rsidRPr="004E2E14">
        <w:rPr>
          <w:rFonts w:ascii="Times New Roman" w:hAnsi="Times New Roman" w:cs="Times New Roman"/>
          <w:sz w:val="24"/>
          <w:szCs w:val="24"/>
        </w:rPr>
        <w:t>, legal and political ones,</w:t>
      </w:r>
      <w:r w:rsidR="007F0E4E" w:rsidRPr="004E2E14">
        <w:rPr>
          <w:rFonts w:ascii="Times New Roman" w:hAnsi="Times New Roman" w:cs="Times New Roman"/>
          <w:sz w:val="24"/>
          <w:szCs w:val="24"/>
        </w:rPr>
        <w:t xml:space="preserve"> at its disposal to use against violations</w:t>
      </w:r>
      <w:r w:rsidR="00EC16D9" w:rsidRPr="004E2E14">
        <w:rPr>
          <w:rFonts w:ascii="Times New Roman" w:hAnsi="Times New Roman" w:cs="Times New Roman"/>
          <w:sz w:val="24"/>
          <w:szCs w:val="24"/>
        </w:rPr>
        <w:t xml:space="preserve"> of judicial independence and </w:t>
      </w:r>
      <w:r w:rsidR="00AE2A46" w:rsidRPr="004E2E14">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00AE2A46" w:rsidRPr="004E2E14">
        <w:rPr>
          <w:rFonts w:ascii="Times New Roman" w:hAnsi="Times New Roman" w:cs="Times New Roman"/>
          <w:sz w:val="24"/>
          <w:szCs w:val="24"/>
        </w:rPr>
        <w:t>. Such as</w:t>
      </w:r>
      <w:r w:rsidR="00B322C7" w:rsidRPr="004E2E14">
        <w:rPr>
          <w:rFonts w:ascii="Times New Roman" w:hAnsi="Times New Roman" w:cs="Times New Roman"/>
          <w:sz w:val="24"/>
          <w:szCs w:val="24"/>
        </w:rPr>
        <w:t xml:space="preserve"> </w:t>
      </w:r>
      <w:r w:rsidR="007F0E4E" w:rsidRPr="004E2E14">
        <w:rPr>
          <w:rFonts w:ascii="Times New Roman" w:hAnsi="Times New Roman" w:cs="Times New Roman"/>
          <w:sz w:val="24"/>
          <w:szCs w:val="24"/>
        </w:rPr>
        <w:t>the use of infringement proceedings</w:t>
      </w:r>
      <w:r w:rsidR="000C41E1" w:rsidRPr="004E2E14">
        <w:rPr>
          <w:rFonts w:ascii="Times New Roman" w:hAnsi="Times New Roman" w:cs="Times New Roman"/>
          <w:sz w:val="24"/>
          <w:szCs w:val="24"/>
        </w:rPr>
        <w:t xml:space="preserve"> </w:t>
      </w:r>
      <w:r w:rsidR="007F0E4E" w:rsidRPr="004E2E14">
        <w:rPr>
          <w:rFonts w:ascii="Times New Roman" w:hAnsi="Times New Roman" w:cs="Times New Roman"/>
          <w:sz w:val="24"/>
          <w:szCs w:val="24"/>
        </w:rPr>
        <w:t xml:space="preserve">or the application of financial </w:t>
      </w:r>
      <w:r w:rsidR="00E96DE4" w:rsidRPr="004E2E14">
        <w:rPr>
          <w:rFonts w:ascii="Times New Roman" w:hAnsi="Times New Roman" w:cs="Times New Roman"/>
          <w:sz w:val="24"/>
          <w:szCs w:val="24"/>
        </w:rPr>
        <w:t>penalties</w:t>
      </w:r>
      <w:r w:rsidR="002810D3" w:rsidRPr="004E2E14">
        <w:rPr>
          <w:rFonts w:ascii="Times New Roman" w:hAnsi="Times New Roman" w:cs="Times New Roman"/>
          <w:sz w:val="24"/>
          <w:szCs w:val="24"/>
        </w:rPr>
        <w:t xml:space="preserve"> for non-respect of a </w:t>
      </w:r>
      <w:r w:rsidR="005939A6">
        <w:rPr>
          <w:rFonts w:ascii="Times New Roman" w:hAnsi="Times New Roman" w:cs="Times New Roman"/>
          <w:sz w:val="24"/>
          <w:szCs w:val="24"/>
        </w:rPr>
        <w:t>judgment</w:t>
      </w:r>
      <w:r w:rsidR="002810D3" w:rsidRPr="004E2E14">
        <w:rPr>
          <w:rFonts w:ascii="Times New Roman" w:hAnsi="Times New Roman" w:cs="Times New Roman"/>
          <w:sz w:val="24"/>
          <w:szCs w:val="24"/>
        </w:rPr>
        <w:t xml:space="preserve"> rendered at the end of an infringement proceeding</w:t>
      </w:r>
      <w:r w:rsidR="000C41E1" w:rsidRPr="004E2E14">
        <w:rPr>
          <w:rFonts w:ascii="Times New Roman" w:hAnsi="Times New Roman" w:cs="Times New Roman"/>
          <w:sz w:val="24"/>
          <w:szCs w:val="24"/>
        </w:rPr>
        <w:t xml:space="preserve"> (Article</w:t>
      </w:r>
      <w:r w:rsidR="00491103" w:rsidRPr="004E2E14">
        <w:rPr>
          <w:rFonts w:ascii="Times New Roman" w:hAnsi="Times New Roman" w:cs="Times New Roman"/>
          <w:sz w:val="24"/>
          <w:szCs w:val="24"/>
        </w:rPr>
        <w:t xml:space="preserve"> </w:t>
      </w:r>
      <w:r w:rsidR="000C41E1" w:rsidRPr="004E2E14">
        <w:rPr>
          <w:rFonts w:ascii="Times New Roman" w:hAnsi="Times New Roman" w:cs="Times New Roman"/>
          <w:sz w:val="24"/>
          <w:szCs w:val="24"/>
        </w:rPr>
        <w:t>260</w:t>
      </w:r>
      <w:r w:rsidR="00380597">
        <w:rPr>
          <w:rFonts w:ascii="Times New Roman" w:hAnsi="Times New Roman" w:cs="Times New Roman"/>
          <w:sz w:val="24"/>
          <w:szCs w:val="24"/>
        </w:rPr>
        <w:t xml:space="preserve"> </w:t>
      </w:r>
      <w:r w:rsidR="000C41E1" w:rsidRPr="004E2E14">
        <w:rPr>
          <w:rFonts w:ascii="Times New Roman" w:hAnsi="Times New Roman" w:cs="Times New Roman"/>
          <w:sz w:val="24"/>
          <w:szCs w:val="24"/>
        </w:rPr>
        <w:t>TUE)</w:t>
      </w:r>
      <w:r w:rsidR="00AE2A46" w:rsidRPr="004E2E14">
        <w:rPr>
          <w:rFonts w:ascii="Times New Roman" w:hAnsi="Times New Roman" w:cs="Times New Roman"/>
          <w:sz w:val="24"/>
          <w:szCs w:val="24"/>
        </w:rPr>
        <w:t xml:space="preserve">. </w:t>
      </w:r>
    </w:p>
    <w:p w14:paraId="4094EFE3" w14:textId="3C281F79" w:rsidR="00AE2A46" w:rsidRPr="004E2E14" w:rsidRDefault="00AE2A46" w:rsidP="001D12B5">
      <w:pPr>
        <w:pStyle w:val="Textonotapie"/>
        <w:jc w:val="both"/>
        <w:rPr>
          <w:rFonts w:ascii="Times New Roman" w:hAnsi="Times New Roman" w:cs="Times New Roman"/>
          <w:sz w:val="24"/>
          <w:szCs w:val="24"/>
        </w:rPr>
      </w:pPr>
      <w:r w:rsidRPr="004E2E14">
        <w:rPr>
          <w:rFonts w:ascii="Times New Roman" w:hAnsi="Times New Roman" w:cs="Times New Roman"/>
          <w:sz w:val="24"/>
          <w:szCs w:val="24"/>
        </w:rPr>
        <w:t xml:space="preserve">The European Commission </w:t>
      </w:r>
      <w:r w:rsidR="00023D7D">
        <w:rPr>
          <w:rFonts w:ascii="Times New Roman" w:hAnsi="Times New Roman" w:cs="Times New Roman"/>
          <w:sz w:val="24"/>
          <w:szCs w:val="24"/>
        </w:rPr>
        <w:t>(</w:t>
      </w:r>
      <w:r w:rsidR="00023D7D" w:rsidRPr="00023D7D">
        <w:rPr>
          <w:rFonts w:ascii="Times New Roman" w:hAnsi="Times New Roman" w:cs="Times New Roman"/>
          <w:sz w:val="24"/>
          <w:szCs w:val="24"/>
        </w:rPr>
        <w:t xml:space="preserve">like the other </w:t>
      </w:r>
      <w:r w:rsidR="00023D7D">
        <w:rPr>
          <w:rFonts w:ascii="Times New Roman" w:hAnsi="Times New Roman" w:cs="Times New Roman"/>
          <w:sz w:val="24"/>
          <w:szCs w:val="24"/>
        </w:rPr>
        <w:t>M</w:t>
      </w:r>
      <w:r w:rsidR="00023D7D" w:rsidRPr="00023D7D">
        <w:rPr>
          <w:rFonts w:ascii="Times New Roman" w:hAnsi="Times New Roman" w:cs="Times New Roman"/>
          <w:sz w:val="24"/>
          <w:szCs w:val="24"/>
        </w:rPr>
        <w:t xml:space="preserve">ember </w:t>
      </w:r>
      <w:r w:rsidR="00023D7D">
        <w:rPr>
          <w:rFonts w:ascii="Times New Roman" w:hAnsi="Times New Roman" w:cs="Times New Roman"/>
          <w:sz w:val="24"/>
          <w:szCs w:val="24"/>
        </w:rPr>
        <w:t>S</w:t>
      </w:r>
      <w:r w:rsidR="00023D7D" w:rsidRPr="00023D7D">
        <w:rPr>
          <w:rFonts w:ascii="Times New Roman" w:hAnsi="Times New Roman" w:cs="Times New Roman"/>
          <w:sz w:val="24"/>
          <w:szCs w:val="24"/>
        </w:rPr>
        <w:t>tates</w:t>
      </w:r>
      <w:r w:rsidR="00023D7D">
        <w:rPr>
          <w:rFonts w:ascii="Times New Roman" w:hAnsi="Times New Roman" w:cs="Times New Roman"/>
          <w:sz w:val="24"/>
          <w:szCs w:val="24"/>
        </w:rPr>
        <w:t xml:space="preserve">) </w:t>
      </w:r>
      <w:r w:rsidRPr="004E2E14">
        <w:rPr>
          <w:rFonts w:ascii="Times New Roman" w:hAnsi="Times New Roman" w:cs="Times New Roman"/>
          <w:sz w:val="24"/>
          <w:szCs w:val="24"/>
        </w:rPr>
        <w:t xml:space="preserve">may bring Treaty infringement proceedings against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which it considers to be in breach of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principles if they are directly enshrined in the Treaties</w:t>
      </w:r>
      <w:r w:rsidR="005939A6">
        <w:rPr>
          <w:rFonts w:ascii="Times New Roman" w:hAnsi="Times New Roman" w:cs="Times New Roman"/>
          <w:sz w:val="24"/>
          <w:szCs w:val="24"/>
        </w:rPr>
        <w:t>,</w:t>
      </w:r>
      <w:r w:rsidRPr="004E2E14">
        <w:rPr>
          <w:rFonts w:ascii="Times New Roman" w:hAnsi="Times New Roman" w:cs="Times New Roman"/>
          <w:sz w:val="24"/>
          <w:szCs w:val="24"/>
        </w:rPr>
        <w:t xml:space="preserve"> </w:t>
      </w:r>
      <w:r w:rsidR="00574537">
        <w:rPr>
          <w:rFonts w:ascii="Times New Roman" w:hAnsi="Times New Roman" w:cs="Times New Roman"/>
          <w:sz w:val="24"/>
          <w:szCs w:val="24"/>
        </w:rPr>
        <w:t xml:space="preserve">according to </w:t>
      </w:r>
      <w:r w:rsidRPr="004E2E14">
        <w:rPr>
          <w:rFonts w:ascii="Times New Roman" w:hAnsi="Times New Roman" w:cs="Times New Roman"/>
          <w:sz w:val="24"/>
          <w:szCs w:val="24"/>
        </w:rPr>
        <w:t xml:space="preserve">Article 258 TUE. That kind of </w:t>
      </w:r>
      <w:r w:rsidR="00AB1B52" w:rsidRPr="004E2E14">
        <w:rPr>
          <w:rFonts w:ascii="Times New Roman" w:hAnsi="Times New Roman" w:cs="Times New Roman"/>
          <w:sz w:val="24"/>
          <w:szCs w:val="24"/>
        </w:rPr>
        <w:t>proceeding ensures</w:t>
      </w:r>
      <w:r w:rsidRPr="004E2E14">
        <w:rPr>
          <w:rFonts w:ascii="Times New Roman" w:hAnsi="Times New Roman" w:cs="Times New Roman"/>
          <w:sz w:val="24"/>
          <w:szCs w:val="24"/>
        </w:rPr>
        <w:t xml:space="preserve"> that EU law is correctly applied and respected at </w:t>
      </w:r>
      <w:r w:rsidR="005939A6">
        <w:rPr>
          <w:rFonts w:ascii="Times New Roman" w:hAnsi="Times New Roman" w:cs="Times New Roman"/>
          <w:sz w:val="24"/>
          <w:szCs w:val="24"/>
        </w:rPr>
        <w:t xml:space="preserve">a </w:t>
      </w:r>
      <w:r w:rsidRPr="004E2E14">
        <w:rPr>
          <w:rFonts w:ascii="Times New Roman" w:hAnsi="Times New Roman" w:cs="Times New Roman"/>
          <w:sz w:val="24"/>
          <w:szCs w:val="24"/>
        </w:rPr>
        <w:t>national level.</w:t>
      </w:r>
      <w:r w:rsidR="00890466">
        <w:rPr>
          <w:rFonts w:ascii="Times New Roman" w:hAnsi="Times New Roman" w:cs="Times New Roman"/>
          <w:sz w:val="24"/>
          <w:szCs w:val="24"/>
        </w:rPr>
        <w:t xml:space="preserve"> </w:t>
      </w:r>
      <w:r w:rsidR="00890466" w:rsidRPr="00890466">
        <w:rPr>
          <w:rFonts w:ascii="Times New Roman" w:hAnsi="Times New Roman" w:cs="Times New Roman"/>
          <w:sz w:val="24"/>
          <w:szCs w:val="24"/>
        </w:rPr>
        <w:t xml:space="preserve">The European Commission has launched multiple infringement procedures against Hungary and Poland over reforms that </w:t>
      </w:r>
      <w:r w:rsidR="00574537">
        <w:rPr>
          <w:rFonts w:ascii="Times New Roman" w:hAnsi="Times New Roman" w:cs="Times New Roman"/>
          <w:sz w:val="24"/>
          <w:szCs w:val="24"/>
        </w:rPr>
        <w:t>threaten</w:t>
      </w:r>
      <w:r w:rsidR="00890466" w:rsidRPr="00890466">
        <w:rPr>
          <w:rFonts w:ascii="Times New Roman" w:hAnsi="Times New Roman" w:cs="Times New Roman"/>
          <w:sz w:val="24"/>
          <w:szCs w:val="24"/>
        </w:rPr>
        <w:t xml:space="preserve"> judicial independence, including Poland's disciplinary system for judges and Hungary's constitutional and media reforms. Poland has been ordered to suspend certain parts of its judicial reforms, but the enforcement and adherence to these directives have been slow.</w:t>
      </w:r>
    </w:p>
    <w:p w14:paraId="1B5120AD" w14:textId="790AEBBA" w:rsidR="00AE2A46" w:rsidRPr="004E2E14" w:rsidRDefault="00AE2A46"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Or others like </w:t>
      </w:r>
      <w:r w:rsidR="00B322C7" w:rsidRPr="004E2E14">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00B322C7" w:rsidRPr="004E2E14">
        <w:rPr>
          <w:rFonts w:ascii="Times New Roman" w:hAnsi="Times New Roman" w:cs="Times New Roman"/>
          <w:sz w:val="24"/>
          <w:szCs w:val="24"/>
        </w:rPr>
        <w:t xml:space="preserve"> framework, the </w:t>
      </w:r>
      <w:r w:rsidR="00062F6C">
        <w:rPr>
          <w:rFonts w:ascii="Times New Roman" w:hAnsi="Times New Roman" w:cs="Times New Roman"/>
          <w:sz w:val="24"/>
          <w:szCs w:val="24"/>
        </w:rPr>
        <w:t>Rule of Law</w:t>
      </w:r>
      <w:r w:rsidR="00B322C7" w:rsidRPr="004E2E14">
        <w:rPr>
          <w:rFonts w:ascii="Times New Roman" w:hAnsi="Times New Roman" w:cs="Times New Roman"/>
          <w:sz w:val="24"/>
          <w:szCs w:val="24"/>
        </w:rPr>
        <w:t xml:space="preserve"> </w:t>
      </w:r>
      <w:r w:rsidR="00795150" w:rsidRPr="004E2E14">
        <w:rPr>
          <w:rFonts w:ascii="Times New Roman" w:hAnsi="Times New Roman" w:cs="Times New Roman"/>
          <w:sz w:val="24"/>
          <w:szCs w:val="24"/>
        </w:rPr>
        <w:t>m</w:t>
      </w:r>
      <w:r w:rsidR="00B322C7" w:rsidRPr="004E2E14">
        <w:rPr>
          <w:rFonts w:ascii="Times New Roman" w:hAnsi="Times New Roman" w:cs="Times New Roman"/>
          <w:sz w:val="24"/>
          <w:szCs w:val="24"/>
        </w:rPr>
        <w:t xml:space="preserve">echanism, the Cooperation and Verification Mechanism, </w:t>
      </w:r>
      <w:r w:rsidR="005D4679" w:rsidRPr="004E2E14">
        <w:rPr>
          <w:rFonts w:ascii="Times New Roman" w:hAnsi="Times New Roman" w:cs="Times New Roman"/>
          <w:sz w:val="24"/>
          <w:szCs w:val="24"/>
        </w:rPr>
        <w:t xml:space="preserve">the </w:t>
      </w:r>
      <w:r w:rsidR="00D3451B" w:rsidRPr="004E2E14">
        <w:rPr>
          <w:rFonts w:ascii="Times New Roman" w:hAnsi="Times New Roman" w:cs="Times New Roman"/>
          <w:sz w:val="24"/>
          <w:szCs w:val="24"/>
        </w:rPr>
        <w:t xml:space="preserve">Conditionality Mechanism, </w:t>
      </w:r>
      <w:r w:rsidR="00E373F8" w:rsidRPr="004E2E14">
        <w:rPr>
          <w:rFonts w:ascii="Times New Roman" w:hAnsi="Times New Roman" w:cs="Times New Roman"/>
          <w:sz w:val="24"/>
          <w:szCs w:val="24"/>
        </w:rPr>
        <w:t xml:space="preserve">the Common Provisions Regulation, </w:t>
      </w:r>
      <w:r w:rsidR="00D3451B" w:rsidRPr="004E2E14">
        <w:rPr>
          <w:rFonts w:ascii="Times New Roman" w:hAnsi="Times New Roman" w:cs="Times New Roman"/>
          <w:sz w:val="24"/>
          <w:szCs w:val="24"/>
        </w:rPr>
        <w:t xml:space="preserve">the </w:t>
      </w:r>
      <w:r w:rsidR="005D4679" w:rsidRPr="004E2E14">
        <w:rPr>
          <w:rFonts w:ascii="Times New Roman" w:hAnsi="Times New Roman" w:cs="Times New Roman"/>
          <w:sz w:val="24"/>
          <w:szCs w:val="24"/>
        </w:rPr>
        <w:t xml:space="preserve">European Semester, </w:t>
      </w:r>
      <w:r w:rsidR="004E2E14" w:rsidRPr="004E2E14">
        <w:rPr>
          <w:rFonts w:ascii="Times New Roman" w:hAnsi="Times New Roman" w:cs="Times New Roman"/>
          <w:sz w:val="24"/>
          <w:szCs w:val="24"/>
        </w:rPr>
        <w:t xml:space="preserve">and </w:t>
      </w:r>
      <w:r w:rsidR="00177702" w:rsidRPr="004E2E14">
        <w:rPr>
          <w:rFonts w:ascii="Times New Roman" w:hAnsi="Times New Roman" w:cs="Times New Roman"/>
          <w:sz w:val="24"/>
          <w:szCs w:val="24"/>
        </w:rPr>
        <w:t>the EU Justice Scoreboard</w:t>
      </w:r>
      <w:r w:rsidR="00EC16D9" w:rsidRPr="004E2E14">
        <w:rPr>
          <w:rFonts w:ascii="Times New Roman" w:hAnsi="Times New Roman" w:cs="Times New Roman"/>
          <w:sz w:val="24"/>
          <w:szCs w:val="24"/>
        </w:rPr>
        <w:t xml:space="preserve">, which can be used to monitor and ensure respect for judicial independence and the </w:t>
      </w:r>
      <w:r w:rsidR="00062F6C">
        <w:rPr>
          <w:rFonts w:ascii="Times New Roman" w:hAnsi="Times New Roman" w:cs="Times New Roman"/>
          <w:sz w:val="24"/>
          <w:szCs w:val="24"/>
        </w:rPr>
        <w:t>Rule of Law</w:t>
      </w:r>
      <w:r w:rsidR="00EC16D9" w:rsidRPr="004E2E14">
        <w:rPr>
          <w:rFonts w:ascii="Times New Roman" w:hAnsi="Times New Roman" w:cs="Times New Roman"/>
          <w:sz w:val="24"/>
          <w:szCs w:val="24"/>
        </w:rPr>
        <w:t xml:space="preserve"> by </w:t>
      </w:r>
      <w:r w:rsidR="00CE1C15" w:rsidRPr="004E2E14">
        <w:rPr>
          <w:rFonts w:ascii="Times New Roman" w:hAnsi="Times New Roman" w:cs="Times New Roman"/>
          <w:sz w:val="24"/>
          <w:szCs w:val="24"/>
        </w:rPr>
        <w:t>non-</w:t>
      </w:r>
      <w:r w:rsidR="00427F56" w:rsidRPr="004E2E14">
        <w:rPr>
          <w:rFonts w:ascii="Times New Roman" w:hAnsi="Times New Roman" w:cs="Times New Roman"/>
          <w:sz w:val="24"/>
          <w:szCs w:val="24"/>
        </w:rPr>
        <w:t>compliant</w:t>
      </w:r>
      <w:r w:rsidR="00EC16D9" w:rsidRPr="004E2E14">
        <w:rPr>
          <w:rFonts w:ascii="Times New Roman" w:hAnsi="Times New Roman" w:cs="Times New Roman"/>
          <w:sz w:val="24"/>
          <w:szCs w:val="24"/>
        </w:rPr>
        <w:t xml:space="preserve"> </w:t>
      </w:r>
      <w:r w:rsidR="00062F6C">
        <w:rPr>
          <w:rFonts w:ascii="Times New Roman" w:hAnsi="Times New Roman" w:cs="Times New Roman"/>
          <w:sz w:val="24"/>
          <w:szCs w:val="24"/>
        </w:rPr>
        <w:t>Member States</w:t>
      </w:r>
      <w:r w:rsidR="00EC16D9" w:rsidRPr="004E2E14">
        <w:rPr>
          <w:rFonts w:ascii="Times New Roman" w:hAnsi="Times New Roman" w:cs="Times New Roman"/>
          <w:sz w:val="24"/>
          <w:szCs w:val="24"/>
        </w:rPr>
        <w:t xml:space="preserve">. </w:t>
      </w:r>
    </w:p>
    <w:p w14:paraId="1E759F16" w14:textId="6D0C8EA9" w:rsidR="00AE2A46" w:rsidRPr="004E2E14" w:rsidRDefault="00AE2A46"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In 2014, the European Commission adopted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framework</w:t>
      </w:r>
      <w:r w:rsidRPr="004E2E14">
        <w:rPr>
          <w:rStyle w:val="Refdenotaalpie"/>
          <w:rFonts w:ascii="Times New Roman" w:hAnsi="Times New Roman" w:cs="Times New Roman"/>
          <w:sz w:val="24"/>
          <w:szCs w:val="24"/>
        </w:rPr>
        <w:footnoteReference w:id="97"/>
      </w:r>
      <w:r w:rsidRPr="004E2E14">
        <w:rPr>
          <w:rFonts w:ascii="Times New Roman" w:hAnsi="Times New Roman" w:cs="Times New Roman"/>
          <w:sz w:val="24"/>
          <w:szCs w:val="24"/>
        </w:rPr>
        <w:t xml:space="preserve"> to prevent escalation and address, through a structured dialogue, emerging and systemic threats to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in EU countries, to avoid having to resort to the mechanisms of Article 7 TEU. The framework comprises three stages: the Commission assessment, the Commission recommendation, and the monitoring of the EU country’s follow-up to the </w:t>
      </w:r>
      <w:r w:rsidRPr="004E2E14">
        <w:rPr>
          <w:rFonts w:ascii="Times New Roman" w:hAnsi="Times New Roman" w:cs="Times New Roman"/>
          <w:sz w:val="24"/>
          <w:szCs w:val="24"/>
        </w:rPr>
        <w:lastRenderedPageBreak/>
        <w:t>Commission’s recommendation. If no solution is found, Article 7 TEU is the last resort. This framework was activated for the first time in 2016, with Poland.</w:t>
      </w:r>
    </w:p>
    <w:p w14:paraId="1635936A" w14:textId="78D96F0E" w:rsidR="004E2E14" w:rsidRPr="004E2E14" w:rsidRDefault="005C6C44"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To promote and safeguard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in the framework of the Treaties, the Council decided in December 2014 to hold the Annual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dialogues, among all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within the Council, based on the principles of objectivity, non-discrimination and equal treatment of all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conducted on a non-partisan and evidence-based approach, emphasizing that such an approach will be without prejudice to the principle of conferred competences, as well as the respect of national identities of </w:t>
      </w:r>
      <w:r w:rsidR="00062F6C">
        <w:rPr>
          <w:rFonts w:ascii="Times New Roman" w:hAnsi="Times New Roman" w:cs="Times New Roman"/>
          <w:sz w:val="24"/>
          <w:szCs w:val="24"/>
        </w:rPr>
        <w:t>Member States</w:t>
      </w:r>
      <w:r w:rsidRPr="004E2E14">
        <w:rPr>
          <w:rFonts w:ascii="Times New Roman" w:hAnsi="Times New Roman" w:cs="Times New Roman"/>
          <w:sz w:val="24"/>
          <w:szCs w:val="24"/>
        </w:rPr>
        <w:t>.</w:t>
      </w:r>
      <w:r w:rsidRPr="004E2E14">
        <w:rPr>
          <w:rStyle w:val="Refdenotaalpie"/>
          <w:rFonts w:ascii="Times New Roman" w:hAnsi="Times New Roman" w:cs="Times New Roman"/>
          <w:sz w:val="24"/>
          <w:szCs w:val="24"/>
        </w:rPr>
        <w:footnoteReference w:id="98"/>
      </w:r>
      <w:r>
        <w:rPr>
          <w:rFonts w:ascii="Times New Roman" w:hAnsi="Times New Roman" w:cs="Times New Roman"/>
          <w:sz w:val="24"/>
          <w:szCs w:val="24"/>
        </w:rPr>
        <w:t xml:space="preserve"> </w:t>
      </w:r>
      <w:r w:rsidR="004E2E14" w:rsidRPr="004E2E14">
        <w:rPr>
          <w:rFonts w:ascii="Times New Roman" w:hAnsi="Times New Roman" w:cs="Times New Roman"/>
          <w:sz w:val="24"/>
          <w:szCs w:val="24"/>
        </w:rPr>
        <w:t xml:space="preserve">The European </w:t>
      </w:r>
      <w:r w:rsidR="00062F6C">
        <w:rPr>
          <w:rFonts w:ascii="Times New Roman" w:hAnsi="Times New Roman" w:cs="Times New Roman"/>
          <w:sz w:val="24"/>
          <w:szCs w:val="24"/>
        </w:rPr>
        <w:t>Rule of Law</w:t>
      </w:r>
      <w:r w:rsidR="004E2E14" w:rsidRPr="004E2E14">
        <w:rPr>
          <w:rFonts w:ascii="Times New Roman" w:hAnsi="Times New Roman" w:cs="Times New Roman"/>
          <w:sz w:val="24"/>
          <w:szCs w:val="24"/>
        </w:rPr>
        <w:t xml:space="preserve"> mechanism provides a process for an annual dialogue between the Commission, the Council</w:t>
      </w:r>
      <w:r w:rsidR="005939A6">
        <w:rPr>
          <w:rFonts w:ascii="Times New Roman" w:hAnsi="Times New Roman" w:cs="Times New Roman"/>
          <w:sz w:val="24"/>
          <w:szCs w:val="24"/>
        </w:rPr>
        <w:t>,</w:t>
      </w:r>
      <w:r w:rsidR="004E2E14" w:rsidRPr="004E2E14">
        <w:rPr>
          <w:rFonts w:ascii="Times New Roman" w:hAnsi="Times New Roman" w:cs="Times New Roman"/>
          <w:sz w:val="24"/>
          <w:szCs w:val="24"/>
        </w:rPr>
        <w:t xml:space="preserve"> and the European Parliament together with </w:t>
      </w:r>
      <w:r w:rsidR="00062F6C">
        <w:rPr>
          <w:rFonts w:ascii="Times New Roman" w:hAnsi="Times New Roman" w:cs="Times New Roman"/>
          <w:sz w:val="24"/>
          <w:szCs w:val="24"/>
        </w:rPr>
        <w:t>Member States</w:t>
      </w:r>
      <w:r w:rsidR="004E2E14" w:rsidRPr="004E2E14">
        <w:rPr>
          <w:rFonts w:ascii="Times New Roman" w:hAnsi="Times New Roman" w:cs="Times New Roman"/>
          <w:sz w:val="24"/>
          <w:szCs w:val="24"/>
        </w:rPr>
        <w:t xml:space="preserve"> as well as national parliaments, civil society</w:t>
      </w:r>
      <w:r w:rsidR="005939A6">
        <w:rPr>
          <w:rFonts w:ascii="Times New Roman" w:hAnsi="Times New Roman" w:cs="Times New Roman"/>
          <w:sz w:val="24"/>
          <w:szCs w:val="24"/>
        </w:rPr>
        <w:t>,</w:t>
      </w:r>
      <w:r w:rsidR="004E2E14" w:rsidRPr="004E2E14">
        <w:rPr>
          <w:rFonts w:ascii="Times New Roman" w:hAnsi="Times New Roman" w:cs="Times New Roman"/>
          <w:sz w:val="24"/>
          <w:szCs w:val="24"/>
        </w:rPr>
        <w:t xml:space="preserve"> and other stakeholders on the </w:t>
      </w:r>
      <w:r w:rsidR="00062F6C">
        <w:rPr>
          <w:rFonts w:ascii="Times New Roman" w:hAnsi="Times New Roman" w:cs="Times New Roman"/>
          <w:sz w:val="24"/>
          <w:szCs w:val="24"/>
        </w:rPr>
        <w:t>Rule of Law</w:t>
      </w:r>
      <w:r w:rsidR="004E2E14" w:rsidRPr="004E2E14">
        <w:rPr>
          <w:rFonts w:ascii="Times New Roman" w:hAnsi="Times New Roman" w:cs="Times New Roman"/>
          <w:sz w:val="24"/>
          <w:szCs w:val="24"/>
        </w:rPr>
        <w:t xml:space="preserve">. Its objective is to stimulate inter-institutional roles. The </w:t>
      </w:r>
      <w:r w:rsidR="00062F6C">
        <w:rPr>
          <w:rFonts w:ascii="Times New Roman" w:hAnsi="Times New Roman" w:cs="Times New Roman"/>
          <w:sz w:val="24"/>
          <w:szCs w:val="24"/>
        </w:rPr>
        <w:t>Rule of Law</w:t>
      </w:r>
      <w:r w:rsidR="004E2E14" w:rsidRPr="004E2E14">
        <w:rPr>
          <w:rFonts w:ascii="Times New Roman" w:hAnsi="Times New Roman" w:cs="Times New Roman"/>
          <w:sz w:val="24"/>
          <w:szCs w:val="24"/>
        </w:rPr>
        <w:t xml:space="preserve"> Report and the preparatory work with </w:t>
      </w:r>
      <w:r w:rsidR="00062F6C">
        <w:rPr>
          <w:rFonts w:ascii="Times New Roman" w:hAnsi="Times New Roman" w:cs="Times New Roman"/>
          <w:sz w:val="24"/>
          <w:szCs w:val="24"/>
        </w:rPr>
        <w:t>Member States</w:t>
      </w:r>
      <w:r w:rsidR="004E2E14" w:rsidRPr="004E2E14">
        <w:rPr>
          <w:rFonts w:ascii="Times New Roman" w:hAnsi="Times New Roman" w:cs="Times New Roman"/>
          <w:sz w:val="24"/>
          <w:szCs w:val="24"/>
        </w:rPr>
        <w:t xml:space="preserve"> takes place annually as part of the mechanism and will serve as a basis for discussions in the EU</w:t>
      </w:r>
      <w:r w:rsidR="005939A6">
        <w:rPr>
          <w:rFonts w:ascii="Times New Roman" w:hAnsi="Times New Roman" w:cs="Times New Roman"/>
          <w:sz w:val="24"/>
          <w:szCs w:val="24"/>
        </w:rPr>
        <w:t>,</w:t>
      </w:r>
      <w:r w:rsidR="004E2E14" w:rsidRPr="004E2E14">
        <w:rPr>
          <w:rFonts w:ascii="Times New Roman" w:hAnsi="Times New Roman" w:cs="Times New Roman"/>
          <w:sz w:val="24"/>
          <w:szCs w:val="24"/>
        </w:rPr>
        <w:t xml:space="preserve"> as well as to prevent problems from emerging or deepening further.</w:t>
      </w:r>
      <w:r w:rsidRPr="005C6C44">
        <w:rPr>
          <w:rFonts w:ascii="Times New Roman" w:hAnsi="Times New Roman" w:cs="Times New Roman"/>
          <w:sz w:val="24"/>
          <w:szCs w:val="24"/>
        </w:rPr>
        <w:t xml:space="preserve"> </w:t>
      </w:r>
    </w:p>
    <w:p w14:paraId="381D728B" w14:textId="6F4AEAA2" w:rsidR="002D7EAA" w:rsidRPr="004E2E14" w:rsidRDefault="002D7EAA"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Adopted in 2006 to oversee Bulgaria and Romania, as a temporary mechanism, the Cooperation and Verification Mechanism was set up to monitor the countries’ progress in addressing specific benchmarks in </w:t>
      </w:r>
      <w:r w:rsidRPr="004E2E14">
        <w:rPr>
          <w:rFonts w:ascii="Times New Roman" w:hAnsi="Times New Roman" w:cs="Times New Roman"/>
          <w:i/>
          <w:iCs/>
          <w:sz w:val="24"/>
          <w:szCs w:val="24"/>
        </w:rPr>
        <w:t>inter alia</w:t>
      </w:r>
      <w:r w:rsidRPr="004E2E14">
        <w:rPr>
          <w:rFonts w:ascii="Times New Roman" w:hAnsi="Times New Roman" w:cs="Times New Roman"/>
          <w:sz w:val="24"/>
          <w:szCs w:val="24"/>
        </w:rPr>
        <w:t xml:space="preserve"> the area of judicial reform, corruption, and the fight against organized crime</w:t>
      </w:r>
      <w:r w:rsidRPr="004E2E14">
        <w:rPr>
          <w:rStyle w:val="Refdenotaalpie"/>
          <w:rFonts w:ascii="Times New Roman" w:hAnsi="Times New Roman" w:cs="Times New Roman"/>
          <w:sz w:val="24"/>
          <w:szCs w:val="24"/>
        </w:rPr>
        <w:footnoteReference w:id="99"/>
      </w:r>
      <w:r w:rsidRPr="004E2E14">
        <w:rPr>
          <w:rFonts w:ascii="Times New Roman" w:hAnsi="Times New Roman" w:cs="Times New Roman"/>
          <w:sz w:val="24"/>
          <w:szCs w:val="24"/>
        </w:rPr>
        <w:t xml:space="preserve">. The mechanism </w:t>
      </w:r>
      <w:r w:rsidR="009E45F1" w:rsidRPr="004E2E14">
        <w:rPr>
          <w:rFonts w:ascii="Times New Roman" w:hAnsi="Times New Roman" w:cs="Times New Roman"/>
          <w:sz w:val="24"/>
          <w:szCs w:val="24"/>
        </w:rPr>
        <w:t>does not</w:t>
      </w:r>
      <w:r w:rsidRPr="004E2E14">
        <w:rPr>
          <w:rFonts w:ascii="Times New Roman" w:hAnsi="Times New Roman" w:cs="Times New Roman"/>
          <w:sz w:val="24"/>
          <w:szCs w:val="24"/>
        </w:rPr>
        <w:t xml:space="preserve"> provide any sanctions in case of lack of progress.</w:t>
      </w:r>
    </w:p>
    <w:p w14:paraId="310985CE" w14:textId="13CA08C3" w:rsidR="002D7EAA" w:rsidRPr="004E2E14" w:rsidRDefault="002D7EAA"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The Conditionality </w:t>
      </w:r>
      <w:r w:rsidR="00574537">
        <w:rPr>
          <w:rFonts w:ascii="Times New Roman" w:hAnsi="Times New Roman" w:cs="Times New Roman"/>
          <w:sz w:val="24"/>
          <w:szCs w:val="24"/>
        </w:rPr>
        <w:t>Regulation m</w:t>
      </w:r>
      <w:r w:rsidRPr="004E2E14">
        <w:rPr>
          <w:rFonts w:ascii="Times New Roman" w:hAnsi="Times New Roman" w:cs="Times New Roman"/>
          <w:sz w:val="24"/>
          <w:szCs w:val="24"/>
        </w:rPr>
        <w:t xml:space="preserve">echanism is used in case of breaches of the principles of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which affect or seriously risk affecting the sound financial management of the Union budget or the protection </w:t>
      </w:r>
      <w:r w:rsidR="00286896" w:rsidRPr="004E2E14">
        <w:rPr>
          <w:rFonts w:ascii="Times New Roman" w:hAnsi="Times New Roman" w:cs="Times New Roman"/>
          <w:sz w:val="24"/>
          <w:szCs w:val="24"/>
        </w:rPr>
        <w:t>of the financial interests of the Union in a sufficiently direct way.</w:t>
      </w:r>
      <w:r w:rsidR="00286896" w:rsidRPr="004E2E14">
        <w:rPr>
          <w:rStyle w:val="Refdenotaalpie"/>
          <w:rFonts w:ascii="Times New Roman" w:hAnsi="Times New Roman" w:cs="Times New Roman"/>
          <w:sz w:val="24"/>
          <w:szCs w:val="24"/>
        </w:rPr>
        <w:footnoteReference w:id="100"/>
      </w:r>
      <w:r w:rsidR="00574537">
        <w:rPr>
          <w:rFonts w:ascii="Times New Roman" w:hAnsi="Times New Roman" w:cs="Times New Roman"/>
          <w:sz w:val="24"/>
          <w:szCs w:val="24"/>
        </w:rPr>
        <w:t xml:space="preserve"> While</w:t>
      </w:r>
      <w:r w:rsidR="0006392C">
        <w:rPr>
          <w:rFonts w:ascii="Times New Roman" w:hAnsi="Times New Roman" w:cs="Times New Roman"/>
          <w:sz w:val="24"/>
          <w:szCs w:val="24"/>
        </w:rPr>
        <w:t xml:space="preserve"> this mechanism is primarily financial, it direct</w:t>
      </w:r>
      <w:r w:rsidR="00734CE8">
        <w:rPr>
          <w:rFonts w:ascii="Times New Roman" w:hAnsi="Times New Roman" w:cs="Times New Roman"/>
          <w:sz w:val="24"/>
          <w:szCs w:val="24"/>
        </w:rPr>
        <w:t>ly</w:t>
      </w:r>
      <w:r w:rsidR="0006392C">
        <w:rPr>
          <w:rFonts w:ascii="Times New Roman" w:hAnsi="Times New Roman" w:cs="Times New Roman"/>
          <w:sz w:val="24"/>
          <w:szCs w:val="24"/>
        </w:rPr>
        <w:t xml:space="preserve"> links EU funds to compliance with </w:t>
      </w:r>
      <w:r w:rsidR="00734CE8">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0006392C">
        <w:rPr>
          <w:rFonts w:ascii="Times New Roman" w:hAnsi="Times New Roman" w:cs="Times New Roman"/>
          <w:sz w:val="24"/>
          <w:szCs w:val="24"/>
        </w:rPr>
        <w:t xml:space="preserve"> standards.</w:t>
      </w:r>
    </w:p>
    <w:p w14:paraId="572EDEBF" w14:textId="63549457" w:rsidR="00286896" w:rsidRPr="004E2E14" w:rsidRDefault="00286896" w:rsidP="001D12B5">
      <w:pPr>
        <w:pStyle w:val="Textonotapie"/>
        <w:jc w:val="both"/>
        <w:rPr>
          <w:rFonts w:ascii="Times New Roman" w:hAnsi="Times New Roman" w:cs="Times New Roman"/>
          <w:sz w:val="24"/>
          <w:szCs w:val="24"/>
        </w:rPr>
      </w:pPr>
      <w:r w:rsidRPr="004E2E14">
        <w:rPr>
          <w:rFonts w:ascii="Times New Roman" w:hAnsi="Times New Roman" w:cs="Times New Roman"/>
          <w:sz w:val="24"/>
          <w:szCs w:val="24"/>
        </w:rPr>
        <w:t>The Common Provisions Regulation envisages the suspension of payment from EU funds “if there is a serious deficiency in the effective functioning of the management and control system of the operational programme.”</w:t>
      </w:r>
      <w:r w:rsidRPr="004E2E14">
        <w:rPr>
          <w:rStyle w:val="Refdenotaalpie"/>
          <w:rFonts w:ascii="Times New Roman" w:hAnsi="Times New Roman" w:cs="Times New Roman"/>
          <w:sz w:val="24"/>
          <w:szCs w:val="24"/>
        </w:rPr>
        <w:t xml:space="preserve"> </w:t>
      </w:r>
      <w:r w:rsidRPr="004E2E14">
        <w:rPr>
          <w:rStyle w:val="Refdenotaalpie"/>
          <w:rFonts w:ascii="Times New Roman" w:hAnsi="Times New Roman" w:cs="Times New Roman"/>
          <w:sz w:val="24"/>
          <w:szCs w:val="24"/>
        </w:rPr>
        <w:footnoteReference w:id="101"/>
      </w:r>
      <w:r w:rsidRPr="004E2E14">
        <w:rPr>
          <w:rFonts w:ascii="Times New Roman" w:hAnsi="Times New Roman" w:cs="Times New Roman"/>
          <w:sz w:val="24"/>
          <w:szCs w:val="24"/>
        </w:rPr>
        <w:t xml:space="preserve"> That said, it requires all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w:t>
      </w:r>
      <w:r w:rsidR="00E91104" w:rsidRPr="004E2E14">
        <w:rPr>
          <w:rFonts w:ascii="Times New Roman" w:hAnsi="Times New Roman" w:cs="Times New Roman"/>
          <w:sz w:val="24"/>
          <w:szCs w:val="24"/>
        </w:rPr>
        <w:t xml:space="preserve">to put in place effective mechanisms to ensure the programmes supported by the Common Provisions Regulation and their implementation </w:t>
      </w:r>
      <w:r w:rsidR="005939A6">
        <w:rPr>
          <w:rFonts w:ascii="Times New Roman" w:hAnsi="Times New Roman" w:cs="Times New Roman"/>
          <w:sz w:val="24"/>
          <w:szCs w:val="24"/>
        </w:rPr>
        <w:t>comply</w:t>
      </w:r>
      <w:r w:rsidR="00E91104" w:rsidRPr="004E2E14">
        <w:rPr>
          <w:rFonts w:ascii="Times New Roman" w:hAnsi="Times New Roman" w:cs="Times New Roman"/>
          <w:sz w:val="24"/>
          <w:szCs w:val="24"/>
        </w:rPr>
        <w:t xml:space="preserve"> with the Charter of Fundamental </w:t>
      </w:r>
      <w:r w:rsidR="00E91104" w:rsidRPr="004E2E14">
        <w:rPr>
          <w:rFonts w:ascii="Times New Roman" w:hAnsi="Times New Roman" w:cs="Times New Roman"/>
          <w:sz w:val="24"/>
          <w:szCs w:val="24"/>
        </w:rPr>
        <w:lastRenderedPageBreak/>
        <w:t>Rights, as a precondition for related expenditure to be reimbursed.</w:t>
      </w:r>
      <w:r w:rsidR="0059349D">
        <w:rPr>
          <w:rFonts w:ascii="Times New Roman" w:hAnsi="Times New Roman" w:cs="Times New Roman"/>
          <w:sz w:val="24"/>
          <w:szCs w:val="24"/>
        </w:rPr>
        <w:t xml:space="preserve"> It is considered a powerful financial incentive for compliance and a stronger deterrent compared to other mechanisms. In 2022, </w:t>
      </w:r>
      <w:r w:rsidR="005939A6">
        <w:rPr>
          <w:rFonts w:ascii="Times New Roman" w:hAnsi="Times New Roman" w:cs="Times New Roman"/>
          <w:sz w:val="24"/>
          <w:szCs w:val="24"/>
        </w:rPr>
        <w:t>the</w:t>
      </w:r>
      <w:r w:rsidR="0059349D">
        <w:rPr>
          <w:rFonts w:ascii="Times New Roman" w:hAnsi="Times New Roman" w:cs="Times New Roman"/>
          <w:sz w:val="24"/>
          <w:szCs w:val="24"/>
        </w:rPr>
        <w:t xml:space="preserve"> European Commission proposed cutting funding to Hungary under this mechanism, citing concerns over corruption and the </w:t>
      </w:r>
      <w:r w:rsidR="00062F6C">
        <w:rPr>
          <w:rFonts w:ascii="Times New Roman" w:hAnsi="Times New Roman" w:cs="Times New Roman"/>
          <w:sz w:val="24"/>
          <w:szCs w:val="24"/>
        </w:rPr>
        <w:t>Rule of Law</w:t>
      </w:r>
      <w:r w:rsidR="0059349D">
        <w:rPr>
          <w:rFonts w:ascii="Times New Roman" w:hAnsi="Times New Roman" w:cs="Times New Roman"/>
          <w:sz w:val="24"/>
          <w:szCs w:val="24"/>
        </w:rPr>
        <w:t xml:space="preserve">. In </w:t>
      </w:r>
      <w:r w:rsidR="00F81FDB">
        <w:rPr>
          <w:rFonts w:ascii="Times New Roman" w:hAnsi="Times New Roman" w:cs="Times New Roman"/>
          <w:sz w:val="24"/>
          <w:szCs w:val="24"/>
        </w:rPr>
        <w:t xml:space="preserve">this </w:t>
      </w:r>
      <w:r w:rsidR="0059349D">
        <w:rPr>
          <w:rFonts w:ascii="Times New Roman" w:hAnsi="Times New Roman" w:cs="Times New Roman"/>
          <w:sz w:val="24"/>
          <w:szCs w:val="24"/>
        </w:rPr>
        <w:t>case, negotiations have been ongoing, but the possibility of losing EU funds has spurred some changes, albeit limited.</w:t>
      </w:r>
      <w:r w:rsidR="00F81FDB">
        <w:rPr>
          <w:rFonts w:ascii="Times New Roman" w:hAnsi="Times New Roman" w:cs="Times New Roman"/>
          <w:sz w:val="24"/>
          <w:szCs w:val="24"/>
        </w:rPr>
        <w:t xml:space="preserve"> In 2023, the Commission withheld </w:t>
      </w:r>
      <w:r w:rsidR="0041117B" w:rsidRPr="0041117B">
        <w:rPr>
          <w:rFonts w:ascii="Times New Roman" w:hAnsi="Times New Roman" w:cs="Times New Roman"/>
          <w:sz w:val="24"/>
          <w:szCs w:val="24"/>
        </w:rPr>
        <w:t>€</w:t>
      </w:r>
      <w:r w:rsidR="0041117B">
        <w:rPr>
          <w:rFonts w:ascii="Times New Roman" w:hAnsi="Times New Roman" w:cs="Times New Roman"/>
        </w:rPr>
        <w:t xml:space="preserve"> </w:t>
      </w:r>
      <w:r w:rsidR="00F81FDB">
        <w:rPr>
          <w:rFonts w:ascii="Times New Roman" w:hAnsi="Times New Roman" w:cs="Times New Roman"/>
          <w:sz w:val="24"/>
          <w:szCs w:val="24"/>
        </w:rPr>
        <w:t xml:space="preserve">35 billion in post-pandemic recovery funds until Poland addresses judicial independence issues, leading to some reforms by the Polish </w:t>
      </w:r>
      <w:r w:rsidR="000E1870">
        <w:rPr>
          <w:rFonts w:ascii="Times New Roman" w:hAnsi="Times New Roman" w:cs="Times New Roman"/>
          <w:sz w:val="24"/>
          <w:szCs w:val="24"/>
        </w:rPr>
        <w:t>g</w:t>
      </w:r>
      <w:r w:rsidR="00F81FDB">
        <w:rPr>
          <w:rFonts w:ascii="Times New Roman" w:hAnsi="Times New Roman" w:cs="Times New Roman"/>
          <w:sz w:val="24"/>
          <w:szCs w:val="24"/>
        </w:rPr>
        <w:t>overnment.</w:t>
      </w:r>
      <w:r w:rsidR="00734CE8">
        <w:rPr>
          <w:rFonts w:ascii="Times New Roman" w:hAnsi="Times New Roman" w:cs="Times New Roman"/>
          <w:sz w:val="24"/>
          <w:szCs w:val="24"/>
        </w:rPr>
        <w:t xml:space="preserve"> Poland’s new government, under Donald Tusk, pledged to reform the judiciary to regain EU funds.</w:t>
      </w:r>
    </w:p>
    <w:p w14:paraId="4813639E" w14:textId="6EEA070C" w:rsidR="00E91104" w:rsidRPr="004E2E14" w:rsidRDefault="00E91104" w:rsidP="001D12B5">
      <w:pPr>
        <w:pStyle w:val="Textonotapie"/>
        <w:jc w:val="both"/>
        <w:rPr>
          <w:rFonts w:ascii="Times New Roman" w:hAnsi="Times New Roman" w:cs="Times New Roman"/>
          <w:sz w:val="24"/>
          <w:szCs w:val="24"/>
        </w:rPr>
      </w:pPr>
      <w:r w:rsidRPr="004E2E14">
        <w:rPr>
          <w:rFonts w:ascii="Times New Roman" w:hAnsi="Times New Roman" w:cs="Times New Roman"/>
          <w:sz w:val="24"/>
          <w:szCs w:val="24"/>
        </w:rPr>
        <w:t>The European Semester is a process resulting in country-specific recommendations on macroeconomic and structural issues, including justice systems and anti-corruption.</w:t>
      </w:r>
      <w:r w:rsidR="004E2E14" w:rsidRPr="004E2E14">
        <w:rPr>
          <w:rStyle w:val="Refdenotaalpie"/>
          <w:rFonts w:ascii="Times New Roman" w:hAnsi="Times New Roman" w:cs="Times New Roman"/>
          <w:sz w:val="24"/>
          <w:szCs w:val="24"/>
        </w:rPr>
        <w:footnoteReference w:id="102"/>
      </w:r>
      <w:r w:rsidRPr="004E2E14">
        <w:rPr>
          <w:rFonts w:ascii="Times New Roman" w:hAnsi="Times New Roman" w:cs="Times New Roman"/>
          <w:sz w:val="24"/>
          <w:szCs w:val="24"/>
        </w:rPr>
        <w:t xml:space="preserve"> </w:t>
      </w:r>
      <w:r w:rsidR="005939A6">
        <w:rPr>
          <w:rFonts w:ascii="Times New Roman" w:hAnsi="Times New Roman" w:cs="Times New Roman"/>
          <w:sz w:val="24"/>
          <w:szCs w:val="24"/>
        </w:rPr>
        <w:t>Viewed</w:t>
      </w:r>
      <w:r w:rsidRPr="004E2E14">
        <w:rPr>
          <w:rFonts w:ascii="Times New Roman" w:hAnsi="Times New Roman" w:cs="Times New Roman"/>
          <w:sz w:val="24"/>
          <w:szCs w:val="24"/>
        </w:rPr>
        <w:t xml:space="preserve"> as an example of soft law instruments implementing EU primary law provisions, it has increasingly become more intensely occupied with issues relating to national judiciaries and judicial independence.</w:t>
      </w:r>
    </w:p>
    <w:p w14:paraId="13CA9D48" w14:textId="5BFAF810" w:rsidR="00286896" w:rsidRPr="004E2E14" w:rsidRDefault="004E2E14" w:rsidP="001D12B5">
      <w:pPr>
        <w:pStyle w:val="Textonotapie"/>
        <w:jc w:val="both"/>
        <w:rPr>
          <w:rFonts w:ascii="Times New Roman" w:hAnsi="Times New Roman" w:cs="Times New Roman"/>
          <w:sz w:val="24"/>
          <w:szCs w:val="24"/>
        </w:rPr>
      </w:pPr>
      <w:r w:rsidRPr="004E2E14">
        <w:rPr>
          <w:rFonts w:ascii="Times New Roman" w:hAnsi="Times New Roman" w:cs="Times New Roman"/>
          <w:sz w:val="24"/>
          <w:szCs w:val="24"/>
        </w:rPr>
        <w:t>The EU Justice Scoreboard</w:t>
      </w:r>
      <w:r w:rsidRPr="004E2E14">
        <w:rPr>
          <w:rStyle w:val="Refdenotaalpie"/>
          <w:rFonts w:ascii="Times New Roman" w:hAnsi="Times New Roman" w:cs="Times New Roman"/>
          <w:sz w:val="24"/>
          <w:szCs w:val="24"/>
        </w:rPr>
        <w:footnoteReference w:id="103"/>
      </w:r>
      <w:r w:rsidR="00925E44">
        <w:rPr>
          <w:rFonts w:ascii="Times New Roman" w:hAnsi="Times New Roman" w:cs="Times New Roman"/>
          <w:sz w:val="24"/>
          <w:szCs w:val="24"/>
        </w:rPr>
        <w:t>:</w:t>
      </w:r>
      <w:r w:rsidR="005939A6">
        <w:rPr>
          <w:rFonts w:ascii="Times New Roman" w:hAnsi="Times New Roman" w:cs="Times New Roman"/>
          <w:sz w:val="24"/>
          <w:szCs w:val="24"/>
        </w:rPr>
        <w:t xml:space="preserve"> </w:t>
      </w:r>
      <w:r w:rsidRPr="004E2E14">
        <w:rPr>
          <w:rFonts w:ascii="Times New Roman" w:hAnsi="Times New Roman" w:cs="Times New Roman"/>
          <w:sz w:val="24"/>
          <w:szCs w:val="24"/>
        </w:rPr>
        <w:t xml:space="preserve">The EU Justice Scoreboard is a comparative information tool </w:t>
      </w:r>
      <w:r w:rsidR="005939A6">
        <w:rPr>
          <w:rFonts w:ascii="Times New Roman" w:hAnsi="Times New Roman" w:cs="Times New Roman"/>
          <w:sz w:val="24"/>
          <w:szCs w:val="24"/>
        </w:rPr>
        <w:t>that</w:t>
      </w:r>
      <w:r w:rsidRPr="004E2E14">
        <w:rPr>
          <w:rFonts w:ascii="Times New Roman" w:hAnsi="Times New Roman" w:cs="Times New Roman"/>
          <w:sz w:val="24"/>
          <w:szCs w:val="24"/>
        </w:rPr>
        <w:t xml:space="preserve"> aims to assist the EU and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to improve the independence, quality</w:t>
      </w:r>
      <w:r w:rsidR="005939A6">
        <w:rPr>
          <w:rFonts w:ascii="Times New Roman" w:hAnsi="Times New Roman" w:cs="Times New Roman"/>
          <w:sz w:val="24"/>
          <w:szCs w:val="24"/>
        </w:rPr>
        <w:t>,</w:t>
      </w:r>
      <w:r w:rsidRPr="004E2E14">
        <w:rPr>
          <w:rFonts w:ascii="Times New Roman" w:hAnsi="Times New Roman" w:cs="Times New Roman"/>
          <w:sz w:val="24"/>
          <w:szCs w:val="24"/>
        </w:rPr>
        <w:t xml:space="preserve"> and effectiveness of national justice systems. It is one of the tools in the EU’s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toolbox used by the Commission to monitor justice reforms undertaken by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and one of the sources of information for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Report.</w:t>
      </w:r>
      <w:r w:rsidR="00810E58">
        <w:rPr>
          <w:rFonts w:ascii="Times New Roman" w:hAnsi="Times New Roman" w:cs="Times New Roman"/>
          <w:sz w:val="24"/>
          <w:szCs w:val="24"/>
        </w:rPr>
        <w:t xml:space="preserve"> It functions as an early warning tool for the </w:t>
      </w:r>
      <w:r w:rsidR="00062F6C">
        <w:rPr>
          <w:rFonts w:ascii="Times New Roman" w:hAnsi="Times New Roman" w:cs="Times New Roman"/>
          <w:sz w:val="24"/>
          <w:szCs w:val="24"/>
        </w:rPr>
        <w:t>Rule of Law</w:t>
      </w:r>
      <w:r w:rsidR="00810E58">
        <w:rPr>
          <w:rFonts w:ascii="Times New Roman" w:hAnsi="Times New Roman" w:cs="Times New Roman"/>
          <w:sz w:val="24"/>
          <w:szCs w:val="24"/>
        </w:rPr>
        <w:t xml:space="preserve"> backsliding.</w:t>
      </w:r>
    </w:p>
    <w:p w14:paraId="7706F5D2" w14:textId="4D6C4D70" w:rsidR="00550211" w:rsidRDefault="00CE1C15"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T</w:t>
      </w:r>
      <w:r w:rsidR="007F0E4E" w:rsidRPr="004E2E14">
        <w:rPr>
          <w:rFonts w:ascii="Times New Roman" w:hAnsi="Times New Roman" w:cs="Times New Roman"/>
          <w:sz w:val="24"/>
          <w:szCs w:val="24"/>
        </w:rPr>
        <w:t>he</w:t>
      </w:r>
      <w:r w:rsidRPr="004E2E14">
        <w:rPr>
          <w:rFonts w:ascii="Times New Roman" w:hAnsi="Times New Roman" w:cs="Times New Roman"/>
          <w:sz w:val="24"/>
          <w:szCs w:val="24"/>
        </w:rPr>
        <w:t xml:space="preserve"> same way, the</w:t>
      </w:r>
      <w:r w:rsidR="007F0E4E" w:rsidRPr="004E2E14">
        <w:rPr>
          <w:rFonts w:ascii="Times New Roman" w:hAnsi="Times New Roman" w:cs="Times New Roman"/>
          <w:sz w:val="24"/>
          <w:szCs w:val="24"/>
        </w:rPr>
        <w:t xml:space="preserve"> mechanism of Article 7 TEU</w:t>
      </w:r>
      <w:r w:rsidR="00CC3CF1" w:rsidRPr="004E2E14">
        <w:rPr>
          <w:rFonts w:ascii="Times New Roman" w:hAnsi="Times New Roman" w:cs="Times New Roman"/>
          <w:sz w:val="24"/>
          <w:szCs w:val="24"/>
        </w:rPr>
        <w:t>,</w:t>
      </w:r>
      <w:r w:rsidRPr="004E2E14">
        <w:rPr>
          <w:rFonts w:ascii="Times New Roman" w:hAnsi="Times New Roman" w:cs="Times New Roman"/>
          <w:sz w:val="24"/>
          <w:szCs w:val="24"/>
        </w:rPr>
        <w:t xml:space="preserve"> </w:t>
      </w:r>
      <w:r w:rsidR="002E005C">
        <w:rPr>
          <w:rFonts w:ascii="Times New Roman" w:hAnsi="Times New Roman" w:cs="Times New Roman"/>
          <w:sz w:val="24"/>
          <w:szCs w:val="24"/>
        </w:rPr>
        <w:t xml:space="preserve">frequently referred to as the nuclear option, </w:t>
      </w:r>
      <w:r w:rsidR="00631590" w:rsidRPr="004E2E14">
        <w:rPr>
          <w:rFonts w:ascii="Times New Roman" w:hAnsi="Times New Roman" w:cs="Times New Roman"/>
          <w:sz w:val="24"/>
          <w:szCs w:val="24"/>
        </w:rPr>
        <w:t>particularly no. 2</w:t>
      </w:r>
      <w:r w:rsidR="005939A6">
        <w:rPr>
          <w:rFonts w:ascii="Times New Roman" w:hAnsi="Times New Roman" w:cs="Times New Roman"/>
          <w:sz w:val="24"/>
          <w:szCs w:val="24"/>
        </w:rPr>
        <w:t>,</w:t>
      </w:r>
      <w:r w:rsidR="00631590" w:rsidRPr="004E2E14">
        <w:rPr>
          <w:rFonts w:ascii="Times New Roman" w:hAnsi="Times New Roman" w:cs="Times New Roman"/>
          <w:sz w:val="24"/>
          <w:szCs w:val="24"/>
        </w:rPr>
        <w:t xml:space="preserve"> </w:t>
      </w:r>
      <w:r w:rsidR="00A71AEF">
        <w:rPr>
          <w:rFonts w:ascii="Times New Roman" w:hAnsi="Times New Roman" w:cs="Times New Roman"/>
          <w:sz w:val="24"/>
          <w:szCs w:val="24"/>
        </w:rPr>
        <w:t xml:space="preserve">allows the EU to sanction </w:t>
      </w:r>
      <w:r w:rsidR="00062F6C">
        <w:rPr>
          <w:rFonts w:ascii="Times New Roman" w:hAnsi="Times New Roman" w:cs="Times New Roman"/>
          <w:sz w:val="24"/>
          <w:szCs w:val="24"/>
        </w:rPr>
        <w:t>Member States</w:t>
      </w:r>
      <w:r w:rsidR="00A71AEF">
        <w:rPr>
          <w:rFonts w:ascii="Times New Roman" w:hAnsi="Times New Roman" w:cs="Times New Roman"/>
          <w:sz w:val="24"/>
          <w:szCs w:val="24"/>
        </w:rPr>
        <w:t xml:space="preserve"> for violating fundamental values. A</w:t>
      </w:r>
      <w:r w:rsidR="002A77DE">
        <w:rPr>
          <w:rFonts w:ascii="Times New Roman" w:hAnsi="Times New Roman" w:cs="Times New Roman"/>
          <w:sz w:val="24"/>
          <w:szCs w:val="24"/>
        </w:rPr>
        <w:t xml:space="preserve">lready used against Poland </w:t>
      </w:r>
      <w:r w:rsidR="00F81FDB">
        <w:rPr>
          <w:rFonts w:ascii="Times New Roman" w:hAnsi="Times New Roman" w:cs="Times New Roman"/>
          <w:sz w:val="24"/>
          <w:szCs w:val="24"/>
        </w:rPr>
        <w:t>(2017)</w:t>
      </w:r>
      <w:r w:rsidR="00161594">
        <w:rPr>
          <w:rStyle w:val="Refdenotaalpie"/>
          <w:rFonts w:ascii="Times New Roman" w:hAnsi="Times New Roman" w:cs="Times New Roman"/>
          <w:sz w:val="24"/>
          <w:szCs w:val="24"/>
        </w:rPr>
        <w:footnoteReference w:id="104"/>
      </w:r>
      <w:r w:rsidR="00F81FDB">
        <w:rPr>
          <w:rFonts w:ascii="Times New Roman" w:hAnsi="Times New Roman" w:cs="Times New Roman"/>
          <w:sz w:val="24"/>
          <w:szCs w:val="24"/>
        </w:rPr>
        <w:t xml:space="preserve"> </w:t>
      </w:r>
      <w:r w:rsidR="002A77DE">
        <w:rPr>
          <w:rFonts w:ascii="Times New Roman" w:hAnsi="Times New Roman" w:cs="Times New Roman"/>
          <w:sz w:val="24"/>
          <w:szCs w:val="24"/>
        </w:rPr>
        <w:t>and Hungary</w:t>
      </w:r>
      <w:r w:rsidR="00F81FDB">
        <w:rPr>
          <w:rFonts w:ascii="Times New Roman" w:hAnsi="Times New Roman" w:cs="Times New Roman"/>
          <w:sz w:val="24"/>
          <w:szCs w:val="24"/>
        </w:rPr>
        <w:t xml:space="preserve"> (2018)</w:t>
      </w:r>
      <w:r w:rsidR="00161594">
        <w:rPr>
          <w:rStyle w:val="Refdenotaalpie"/>
          <w:rFonts w:ascii="Times New Roman" w:hAnsi="Times New Roman" w:cs="Times New Roman"/>
          <w:sz w:val="24"/>
          <w:szCs w:val="24"/>
        </w:rPr>
        <w:footnoteReference w:id="105"/>
      </w:r>
      <w:r w:rsidR="002A77DE">
        <w:rPr>
          <w:rFonts w:ascii="Times New Roman" w:hAnsi="Times New Roman" w:cs="Times New Roman"/>
          <w:sz w:val="24"/>
          <w:szCs w:val="24"/>
        </w:rPr>
        <w:t>,</w:t>
      </w:r>
      <w:r w:rsidRPr="004E2E14">
        <w:rPr>
          <w:rFonts w:ascii="Times New Roman" w:hAnsi="Times New Roman" w:cs="Times New Roman"/>
          <w:sz w:val="24"/>
          <w:szCs w:val="24"/>
        </w:rPr>
        <w:t xml:space="preserve"> </w:t>
      </w:r>
      <w:r w:rsidR="00A71AEF">
        <w:rPr>
          <w:rFonts w:ascii="Times New Roman" w:hAnsi="Times New Roman" w:cs="Times New Roman"/>
          <w:sz w:val="24"/>
          <w:szCs w:val="24"/>
        </w:rPr>
        <w:t>this mechanism</w:t>
      </w:r>
      <w:r w:rsidR="00161594">
        <w:rPr>
          <w:rFonts w:ascii="Times New Roman" w:hAnsi="Times New Roman" w:cs="Times New Roman"/>
          <w:sz w:val="24"/>
          <w:szCs w:val="24"/>
        </w:rPr>
        <w:t>,</w:t>
      </w:r>
      <w:r w:rsidR="00A71AEF">
        <w:rPr>
          <w:rFonts w:ascii="Times New Roman" w:hAnsi="Times New Roman" w:cs="Times New Roman"/>
          <w:sz w:val="24"/>
          <w:szCs w:val="24"/>
        </w:rPr>
        <w:t xml:space="preserve"> </w:t>
      </w:r>
      <w:r w:rsidR="00F81FDB">
        <w:rPr>
          <w:rFonts w:ascii="Times New Roman" w:hAnsi="Times New Roman" w:cs="Times New Roman"/>
          <w:sz w:val="24"/>
          <w:szCs w:val="24"/>
        </w:rPr>
        <w:t xml:space="preserve">which </w:t>
      </w:r>
      <w:r w:rsidR="00EF0428" w:rsidRPr="004E2E14">
        <w:rPr>
          <w:rFonts w:ascii="Times New Roman" w:hAnsi="Times New Roman" w:cs="Times New Roman"/>
          <w:sz w:val="24"/>
          <w:szCs w:val="24"/>
        </w:rPr>
        <w:t>may have as a consequence the suspension of membership rights of State Members</w:t>
      </w:r>
      <w:r w:rsidR="00925E44">
        <w:rPr>
          <w:rFonts w:ascii="Times New Roman" w:hAnsi="Times New Roman" w:cs="Times New Roman"/>
          <w:sz w:val="24"/>
          <w:szCs w:val="24"/>
        </w:rPr>
        <w:t>,</w:t>
      </w:r>
      <w:r w:rsidR="00F81FDB">
        <w:rPr>
          <w:rFonts w:ascii="Times New Roman" w:hAnsi="Times New Roman" w:cs="Times New Roman"/>
          <w:sz w:val="24"/>
          <w:szCs w:val="24"/>
        </w:rPr>
        <w:t xml:space="preserve"> has stalled </w:t>
      </w:r>
      <w:r w:rsidR="00161594">
        <w:rPr>
          <w:rFonts w:ascii="Times New Roman" w:hAnsi="Times New Roman" w:cs="Times New Roman"/>
          <w:sz w:val="24"/>
          <w:szCs w:val="24"/>
        </w:rPr>
        <w:t>because</w:t>
      </w:r>
      <w:r w:rsidR="00F81FDB">
        <w:rPr>
          <w:rFonts w:ascii="Times New Roman" w:hAnsi="Times New Roman" w:cs="Times New Roman"/>
          <w:sz w:val="24"/>
          <w:szCs w:val="24"/>
        </w:rPr>
        <w:t xml:space="preserve"> both </w:t>
      </w:r>
      <w:r w:rsidR="00161594">
        <w:rPr>
          <w:rFonts w:ascii="Times New Roman" w:hAnsi="Times New Roman" w:cs="Times New Roman"/>
          <w:sz w:val="24"/>
          <w:szCs w:val="24"/>
        </w:rPr>
        <w:t>countries have mutually protected each other by blocking further steps</w:t>
      </w:r>
      <w:r w:rsidR="007F0E4E" w:rsidRPr="004E2E14">
        <w:rPr>
          <w:rFonts w:ascii="Times New Roman" w:hAnsi="Times New Roman" w:cs="Times New Roman"/>
          <w:sz w:val="24"/>
          <w:szCs w:val="24"/>
        </w:rPr>
        <w:t>.</w:t>
      </w:r>
      <w:r w:rsidR="007F0E4E" w:rsidRPr="004E2E14">
        <w:rPr>
          <w:rStyle w:val="Refdenotaalpie"/>
          <w:rFonts w:ascii="Times New Roman" w:hAnsi="Times New Roman" w:cs="Times New Roman"/>
          <w:sz w:val="24"/>
          <w:szCs w:val="24"/>
        </w:rPr>
        <w:footnoteReference w:id="106"/>
      </w:r>
      <w:r w:rsidR="007F0E4E" w:rsidRPr="004E2E14">
        <w:rPr>
          <w:rFonts w:ascii="Times New Roman" w:hAnsi="Times New Roman" w:cs="Times New Roman"/>
          <w:sz w:val="24"/>
          <w:szCs w:val="24"/>
        </w:rPr>
        <w:t xml:space="preserve"> </w:t>
      </w:r>
      <w:r w:rsidR="00161594">
        <w:rPr>
          <w:rFonts w:ascii="Times New Roman" w:hAnsi="Times New Roman" w:cs="Times New Roman"/>
          <w:sz w:val="24"/>
          <w:szCs w:val="24"/>
        </w:rPr>
        <w:t>Effectively</w:t>
      </w:r>
      <w:r w:rsidR="002E005C" w:rsidRPr="002E005C">
        <w:rPr>
          <w:rFonts w:ascii="Times New Roman" w:hAnsi="Times New Roman" w:cs="Times New Roman"/>
          <w:sz w:val="24"/>
          <w:szCs w:val="24"/>
        </w:rPr>
        <w:t xml:space="preserve">, </w:t>
      </w:r>
      <w:r w:rsidR="00925E44">
        <w:rPr>
          <w:rFonts w:ascii="Times New Roman" w:hAnsi="Times New Roman" w:cs="Times New Roman"/>
          <w:sz w:val="24"/>
          <w:szCs w:val="24"/>
        </w:rPr>
        <w:t>as it</w:t>
      </w:r>
      <w:r w:rsidR="002E005C" w:rsidRPr="002E005C">
        <w:rPr>
          <w:rFonts w:ascii="Times New Roman" w:hAnsi="Times New Roman" w:cs="Times New Roman"/>
          <w:sz w:val="24"/>
          <w:szCs w:val="24"/>
        </w:rPr>
        <w:t xml:space="preserve"> requires unanimous consent from all EU </w:t>
      </w:r>
      <w:r w:rsidR="00062F6C">
        <w:rPr>
          <w:rFonts w:ascii="Times New Roman" w:hAnsi="Times New Roman" w:cs="Times New Roman"/>
          <w:sz w:val="24"/>
          <w:szCs w:val="24"/>
        </w:rPr>
        <w:t>Member States</w:t>
      </w:r>
      <w:r w:rsidR="00A71AEF">
        <w:rPr>
          <w:rFonts w:ascii="Times New Roman" w:hAnsi="Times New Roman" w:cs="Times New Roman"/>
          <w:sz w:val="24"/>
          <w:szCs w:val="24"/>
        </w:rPr>
        <w:t xml:space="preserve"> (excluding the one in question)</w:t>
      </w:r>
      <w:r w:rsidR="002E005C" w:rsidRPr="002E005C">
        <w:rPr>
          <w:rFonts w:ascii="Times New Roman" w:hAnsi="Times New Roman" w:cs="Times New Roman"/>
          <w:sz w:val="24"/>
          <w:szCs w:val="24"/>
        </w:rPr>
        <w:t xml:space="preserve"> to impose sanctions, </w:t>
      </w:r>
      <w:r w:rsidR="00925E44">
        <w:rPr>
          <w:rFonts w:ascii="Times New Roman" w:hAnsi="Times New Roman" w:cs="Times New Roman"/>
          <w:sz w:val="24"/>
          <w:szCs w:val="24"/>
        </w:rPr>
        <w:t>this</w:t>
      </w:r>
      <w:r w:rsidR="002E005C" w:rsidRPr="002E005C">
        <w:rPr>
          <w:rFonts w:ascii="Times New Roman" w:hAnsi="Times New Roman" w:cs="Times New Roman"/>
          <w:sz w:val="24"/>
          <w:szCs w:val="24"/>
        </w:rPr>
        <w:t xml:space="preserve"> makes its full implementation politically difficult</w:t>
      </w:r>
      <w:r w:rsidR="00890466" w:rsidRPr="00890466">
        <w:rPr>
          <w:rFonts w:ascii="Times New Roman" w:hAnsi="Times New Roman" w:cs="Times New Roman"/>
          <w:sz w:val="24"/>
          <w:szCs w:val="24"/>
        </w:rPr>
        <w:t>.</w:t>
      </w:r>
      <w:r w:rsidR="00925E44">
        <w:rPr>
          <w:rFonts w:ascii="Times New Roman" w:hAnsi="Times New Roman" w:cs="Times New Roman"/>
          <w:sz w:val="24"/>
          <w:szCs w:val="24"/>
        </w:rPr>
        <w:t xml:space="preserve"> </w:t>
      </w:r>
      <w:r w:rsidR="006D437E">
        <w:rPr>
          <w:rFonts w:ascii="Times New Roman" w:hAnsi="Times New Roman" w:cs="Times New Roman"/>
          <w:sz w:val="24"/>
          <w:szCs w:val="24"/>
        </w:rPr>
        <w:t>Hungary and Poland have been using their veto power strategically in the European Council to block sanctions or financial repercussions. They often form informal alliances with other illiberal governments, making it difficult for the EU to adopt decisive actions.</w:t>
      </w:r>
      <w:r w:rsidR="00925E44">
        <w:rPr>
          <w:rFonts w:ascii="Times New Roman" w:hAnsi="Times New Roman" w:cs="Times New Roman"/>
          <w:sz w:val="24"/>
          <w:szCs w:val="24"/>
        </w:rPr>
        <w:t xml:space="preserve"> </w:t>
      </w:r>
      <w:r w:rsidR="00274CE5" w:rsidRPr="00274CE5">
        <w:rPr>
          <w:rFonts w:ascii="Times New Roman" w:hAnsi="Times New Roman" w:cs="Times New Roman"/>
          <w:sz w:val="24"/>
          <w:szCs w:val="24"/>
        </w:rPr>
        <w:t>This is also one of the reasons why</w:t>
      </w:r>
      <w:r w:rsidR="00274CE5">
        <w:rPr>
          <w:rFonts w:ascii="Times New Roman" w:hAnsi="Times New Roman" w:cs="Times New Roman"/>
          <w:sz w:val="24"/>
          <w:szCs w:val="24"/>
        </w:rPr>
        <w:t xml:space="preserve"> the </w:t>
      </w:r>
      <w:r w:rsidRPr="004E2E14">
        <w:rPr>
          <w:rFonts w:ascii="Times New Roman" w:hAnsi="Times New Roman" w:cs="Times New Roman"/>
          <w:sz w:val="24"/>
          <w:szCs w:val="24"/>
        </w:rPr>
        <w:t>Commission</w:t>
      </w:r>
      <w:r w:rsidR="002A77DE">
        <w:rPr>
          <w:rFonts w:ascii="Times New Roman" w:hAnsi="Times New Roman" w:cs="Times New Roman"/>
          <w:sz w:val="24"/>
          <w:szCs w:val="24"/>
        </w:rPr>
        <w:t>, until the end of 2022,</w:t>
      </w:r>
      <w:r w:rsidRPr="004E2E14">
        <w:rPr>
          <w:rFonts w:ascii="Times New Roman" w:hAnsi="Times New Roman" w:cs="Times New Roman"/>
          <w:sz w:val="24"/>
          <w:szCs w:val="24"/>
        </w:rPr>
        <w:t xml:space="preserve"> has avoided taking more drastic measures</w:t>
      </w:r>
      <w:r w:rsidR="00274CE5">
        <w:rPr>
          <w:rFonts w:ascii="Times New Roman" w:hAnsi="Times New Roman" w:cs="Times New Roman"/>
          <w:sz w:val="24"/>
          <w:szCs w:val="24"/>
        </w:rPr>
        <w:t xml:space="preserve">. </w:t>
      </w:r>
      <w:r w:rsidR="00274CE5" w:rsidRPr="00274CE5">
        <w:rPr>
          <w:rFonts w:ascii="Times New Roman" w:hAnsi="Times New Roman" w:cs="Times New Roman"/>
          <w:sz w:val="24"/>
          <w:szCs w:val="24"/>
        </w:rPr>
        <w:t>Not only to avoid being accused</w:t>
      </w:r>
      <w:r w:rsidR="00385D58" w:rsidRPr="004E2E14">
        <w:rPr>
          <w:rFonts w:ascii="Times New Roman" w:hAnsi="Times New Roman" w:cs="Times New Roman"/>
          <w:sz w:val="24"/>
          <w:szCs w:val="24"/>
        </w:rPr>
        <w:t xml:space="preserve"> of interfering in the internal affairs of States,</w:t>
      </w:r>
      <w:r w:rsidR="007F0E4E" w:rsidRPr="004E2E14">
        <w:rPr>
          <w:rFonts w:ascii="Times New Roman" w:hAnsi="Times New Roman" w:cs="Times New Roman"/>
          <w:sz w:val="24"/>
          <w:szCs w:val="24"/>
        </w:rPr>
        <w:t xml:space="preserve"> </w:t>
      </w:r>
      <w:r w:rsidR="00274CE5">
        <w:rPr>
          <w:rFonts w:ascii="Times New Roman" w:hAnsi="Times New Roman" w:cs="Times New Roman"/>
          <w:sz w:val="24"/>
          <w:szCs w:val="24"/>
        </w:rPr>
        <w:t>but also</w:t>
      </w:r>
      <w:r w:rsidR="00385D58" w:rsidRPr="004E2E14">
        <w:rPr>
          <w:rFonts w:ascii="Times New Roman" w:hAnsi="Times New Roman" w:cs="Times New Roman"/>
          <w:sz w:val="24"/>
          <w:szCs w:val="24"/>
        </w:rPr>
        <w:t xml:space="preserve"> because it is aware </w:t>
      </w:r>
      <w:r w:rsidR="007F0E4E" w:rsidRPr="004E2E14">
        <w:rPr>
          <w:rFonts w:ascii="Times New Roman" w:hAnsi="Times New Roman" w:cs="Times New Roman"/>
          <w:sz w:val="24"/>
          <w:szCs w:val="24"/>
        </w:rPr>
        <w:t xml:space="preserve">that </w:t>
      </w:r>
      <w:r w:rsidR="007F0E4E" w:rsidRPr="004E2E14">
        <w:rPr>
          <w:rFonts w:ascii="Times New Roman" w:hAnsi="Times New Roman" w:cs="Times New Roman"/>
          <w:sz w:val="24"/>
          <w:szCs w:val="24"/>
        </w:rPr>
        <w:lastRenderedPageBreak/>
        <w:t xml:space="preserve">non-compliant </w:t>
      </w:r>
      <w:r w:rsidR="00062F6C">
        <w:rPr>
          <w:rFonts w:ascii="Times New Roman" w:hAnsi="Times New Roman" w:cs="Times New Roman"/>
          <w:sz w:val="24"/>
          <w:szCs w:val="24"/>
        </w:rPr>
        <w:t>Member States</w:t>
      </w:r>
      <w:r w:rsidR="007F0E4E" w:rsidRPr="004E2E14">
        <w:rPr>
          <w:rFonts w:ascii="Times New Roman" w:hAnsi="Times New Roman" w:cs="Times New Roman"/>
          <w:sz w:val="24"/>
          <w:szCs w:val="24"/>
        </w:rPr>
        <w:t xml:space="preserve"> can </w:t>
      </w:r>
      <w:r w:rsidR="00550E51" w:rsidRPr="004E2E14">
        <w:rPr>
          <w:rFonts w:ascii="Times New Roman" w:hAnsi="Times New Roman" w:cs="Times New Roman"/>
          <w:sz w:val="24"/>
          <w:szCs w:val="24"/>
        </w:rPr>
        <w:t>paralyze</w:t>
      </w:r>
      <w:r w:rsidR="007F0E4E" w:rsidRPr="004E2E14">
        <w:rPr>
          <w:rFonts w:ascii="Times New Roman" w:hAnsi="Times New Roman" w:cs="Times New Roman"/>
          <w:sz w:val="24"/>
          <w:szCs w:val="24"/>
        </w:rPr>
        <w:t xml:space="preserve"> the adoption of measures</w:t>
      </w:r>
      <w:r w:rsidR="00385D58" w:rsidRPr="004E2E14">
        <w:rPr>
          <w:rFonts w:ascii="Times New Roman" w:hAnsi="Times New Roman" w:cs="Times New Roman"/>
          <w:sz w:val="24"/>
          <w:szCs w:val="24"/>
        </w:rPr>
        <w:t xml:space="preserve">, </w:t>
      </w:r>
      <w:r w:rsidR="005939A6" w:rsidRPr="004E2E14">
        <w:rPr>
          <w:rFonts w:ascii="Times New Roman" w:hAnsi="Times New Roman" w:cs="Times New Roman"/>
          <w:sz w:val="24"/>
          <w:szCs w:val="24"/>
        </w:rPr>
        <w:t>on</w:t>
      </w:r>
      <w:r w:rsidR="00385D58" w:rsidRPr="004E2E14">
        <w:rPr>
          <w:rFonts w:ascii="Times New Roman" w:hAnsi="Times New Roman" w:cs="Times New Roman"/>
          <w:sz w:val="24"/>
          <w:szCs w:val="24"/>
        </w:rPr>
        <w:t xml:space="preserve"> budgetary matters,</w:t>
      </w:r>
      <w:r w:rsidR="007F0E4E" w:rsidRPr="004E2E14">
        <w:rPr>
          <w:rFonts w:ascii="Times New Roman" w:hAnsi="Times New Roman" w:cs="Times New Roman"/>
          <w:sz w:val="24"/>
          <w:szCs w:val="24"/>
        </w:rPr>
        <w:t xml:space="preserve"> </w:t>
      </w:r>
      <w:r w:rsidR="00274CE5" w:rsidRPr="004E2E14">
        <w:rPr>
          <w:rFonts w:ascii="Times New Roman" w:hAnsi="Times New Roman" w:cs="Times New Roman"/>
          <w:sz w:val="24"/>
          <w:szCs w:val="24"/>
        </w:rPr>
        <w:t>which</w:t>
      </w:r>
      <w:r w:rsidR="007F0E4E" w:rsidRPr="004E2E14">
        <w:rPr>
          <w:rFonts w:ascii="Times New Roman" w:hAnsi="Times New Roman" w:cs="Times New Roman"/>
          <w:sz w:val="24"/>
          <w:szCs w:val="24"/>
        </w:rPr>
        <w:t xml:space="preserve"> are vital for the Union, especially in those cases where unanimity is required.</w:t>
      </w:r>
      <w:r w:rsidR="00855E29" w:rsidRPr="004E2E14">
        <w:rPr>
          <w:rStyle w:val="Refdenotaalpie"/>
          <w:rFonts w:ascii="Times New Roman" w:hAnsi="Times New Roman" w:cs="Times New Roman"/>
          <w:sz w:val="24"/>
          <w:szCs w:val="24"/>
        </w:rPr>
        <w:footnoteReference w:id="107"/>
      </w:r>
      <w:r w:rsidR="00550211" w:rsidRPr="004E2E14">
        <w:rPr>
          <w:rFonts w:ascii="Times New Roman" w:hAnsi="Times New Roman" w:cs="Times New Roman"/>
          <w:sz w:val="24"/>
          <w:szCs w:val="24"/>
        </w:rPr>
        <w:t xml:space="preserve"> </w:t>
      </w:r>
    </w:p>
    <w:p w14:paraId="3E3F6314" w14:textId="0B0C368F" w:rsidR="00677288" w:rsidRPr="002A77DE" w:rsidRDefault="00677288" w:rsidP="001D12B5">
      <w:pPr>
        <w:spacing w:after="0" w:line="240" w:lineRule="auto"/>
        <w:jc w:val="both"/>
        <w:rPr>
          <w:rFonts w:ascii="Times New Roman" w:hAnsi="Times New Roman" w:cs="Times New Roman"/>
          <w:sz w:val="24"/>
          <w:szCs w:val="24"/>
        </w:rPr>
      </w:pPr>
      <w:r w:rsidRPr="002A77DE">
        <w:rPr>
          <w:rFonts w:ascii="Times New Roman" w:hAnsi="Times New Roman" w:cs="Times New Roman"/>
          <w:sz w:val="24"/>
          <w:szCs w:val="24"/>
        </w:rPr>
        <w:t xml:space="preserve">However, </w:t>
      </w:r>
      <w:r w:rsidR="00274CE5">
        <w:rPr>
          <w:rFonts w:ascii="Times New Roman" w:hAnsi="Times New Roman" w:cs="Times New Roman"/>
          <w:sz w:val="24"/>
          <w:szCs w:val="24"/>
        </w:rPr>
        <w:t>having understood</w:t>
      </w:r>
      <w:r w:rsidRPr="002A77DE">
        <w:rPr>
          <w:rFonts w:ascii="Times New Roman" w:hAnsi="Times New Roman" w:cs="Times New Roman"/>
          <w:sz w:val="24"/>
          <w:szCs w:val="24"/>
        </w:rPr>
        <w:t xml:space="preserve"> that Hungary had already exceeded all limits, </w:t>
      </w:r>
      <w:r>
        <w:rPr>
          <w:rFonts w:ascii="Times New Roman" w:hAnsi="Times New Roman" w:cs="Times New Roman"/>
          <w:sz w:val="24"/>
          <w:szCs w:val="24"/>
        </w:rPr>
        <w:t xml:space="preserve">by </w:t>
      </w:r>
      <w:r w:rsidRPr="002A77DE">
        <w:rPr>
          <w:rFonts w:ascii="Times New Roman" w:hAnsi="Times New Roman" w:cs="Times New Roman"/>
          <w:sz w:val="24"/>
          <w:szCs w:val="24"/>
        </w:rPr>
        <w:t xml:space="preserve">the end of </w:t>
      </w:r>
      <w:r>
        <w:rPr>
          <w:rFonts w:ascii="Times New Roman" w:hAnsi="Times New Roman" w:cs="Times New Roman"/>
          <w:sz w:val="24"/>
          <w:szCs w:val="24"/>
        </w:rPr>
        <w:t>2022</w:t>
      </w:r>
      <w:r w:rsidRPr="002A77DE">
        <w:rPr>
          <w:rFonts w:ascii="Times New Roman" w:hAnsi="Times New Roman" w:cs="Times New Roman"/>
          <w:sz w:val="24"/>
          <w:szCs w:val="24"/>
        </w:rPr>
        <w:t>, the Commission decided to toughen up its action against this country. In fact, over more than a decade in power, Prime Minister Viktor Órban has had many bitter confrontations with the EU and the European Commission over Hungary's restrictions on the rights of homosexuals and migrants, as well as for strengthening state control over non-governmental organizations, academics, the media</w:t>
      </w:r>
      <w:r w:rsidR="005939A6">
        <w:rPr>
          <w:rFonts w:ascii="Times New Roman" w:hAnsi="Times New Roman" w:cs="Times New Roman"/>
          <w:sz w:val="24"/>
          <w:szCs w:val="24"/>
        </w:rPr>
        <w:t>,</w:t>
      </w:r>
      <w:r w:rsidRPr="002A77DE">
        <w:rPr>
          <w:rFonts w:ascii="Times New Roman" w:hAnsi="Times New Roman" w:cs="Times New Roman"/>
          <w:sz w:val="24"/>
          <w:szCs w:val="24"/>
        </w:rPr>
        <w:t xml:space="preserve"> and the courts. Finally, Budapest’s arm-wrestle between Budapest and EU over </w:t>
      </w:r>
      <w:r w:rsidR="00062F6C">
        <w:rPr>
          <w:rFonts w:ascii="Times New Roman" w:hAnsi="Times New Roman" w:cs="Times New Roman"/>
          <w:sz w:val="24"/>
          <w:szCs w:val="24"/>
        </w:rPr>
        <w:t>Rule of Law</w:t>
      </w:r>
      <w:r w:rsidRPr="002A77DE">
        <w:rPr>
          <w:rFonts w:ascii="Times New Roman" w:hAnsi="Times New Roman" w:cs="Times New Roman"/>
          <w:sz w:val="24"/>
          <w:szCs w:val="24"/>
        </w:rPr>
        <w:t xml:space="preserve"> issues and the attacks on judicial independence were “the straw that broke the camel's back”, leading to the flow of EU funds to Hungary being reduced </w:t>
      </w:r>
      <w:r>
        <w:rPr>
          <w:rFonts w:ascii="Times New Roman" w:hAnsi="Times New Roman" w:cs="Times New Roman"/>
          <w:sz w:val="24"/>
          <w:szCs w:val="24"/>
        </w:rPr>
        <w:t>in 2023</w:t>
      </w:r>
      <w:r w:rsidRPr="002A77DE">
        <w:rPr>
          <w:rFonts w:ascii="Times New Roman" w:hAnsi="Times New Roman" w:cs="Times New Roman"/>
          <w:sz w:val="24"/>
          <w:szCs w:val="24"/>
        </w:rPr>
        <w:t>, what was considered by Hungary an undesirable move, given the ongoing economic contraction and inflation, which hit a new high in March at 25.2 % year-on-year.</w:t>
      </w:r>
      <w:r w:rsidRPr="002A77DE">
        <w:rPr>
          <w:rFonts w:ascii="Times New Roman" w:hAnsi="Times New Roman" w:cs="Times New Roman"/>
          <w:sz w:val="24"/>
          <w:szCs w:val="24"/>
          <w:vertAlign w:val="superscript"/>
        </w:rPr>
        <w:footnoteReference w:id="108"/>
      </w:r>
    </w:p>
    <w:p w14:paraId="20C8DCC5" w14:textId="23287A31" w:rsidR="00677288" w:rsidRPr="002A77DE" w:rsidRDefault="00677288" w:rsidP="001D12B5">
      <w:pPr>
        <w:spacing w:after="0" w:line="240" w:lineRule="auto"/>
        <w:jc w:val="both"/>
        <w:rPr>
          <w:rFonts w:ascii="Times New Roman" w:hAnsi="Times New Roman" w:cs="Times New Roman"/>
          <w:sz w:val="24"/>
          <w:szCs w:val="24"/>
        </w:rPr>
      </w:pPr>
      <w:r w:rsidRPr="002A77DE">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Pr="002A77DE">
        <w:rPr>
          <w:rFonts w:ascii="Times New Roman" w:hAnsi="Times New Roman" w:cs="Times New Roman"/>
          <w:sz w:val="24"/>
          <w:szCs w:val="24"/>
        </w:rPr>
        <w:t xml:space="preserve"> conditionality mechanism, adopted in 2020 by the European Council, allows</w:t>
      </w:r>
      <w:r w:rsidR="00274CE5">
        <w:rPr>
          <w:rFonts w:ascii="Times New Roman" w:hAnsi="Times New Roman" w:cs="Times New Roman"/>
          <w:sz w:val="24"/>
          <w:szCs w:val="24"/>
        </w:rPr>
        <w:t>, as seen before,</w:t>
      </w:r>
      <w:r w:rsidRPr="002A77DE">
        <w:rPr>
          <w:rFonts w:ascii="Times New Roman" w:hAnsi="Times New Roman" w:cs="Times New Roman"/>
          <w:sz w:val="24"/>
          <w:szCs w:val="24"/>
        </w:rPr>
        <w:t xml:space="preserve"> the EU to suspend funding to a member state if it finds it is backsliding on democracy and </w:t>
      </w:r>
      <w:r w:rsidR="005939A6">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Pr="002A77DE">
        <w:rPr>
          <w:rFonts w:ascii="Times New Roman" w:hAnsi="Times New Roman" w:cs="Times New Roman"/>
          <w:sz w:val="24"/>
          <w:szCs w:val="24"/>
        </w:rPr>
        <w:t>, giving it a more effective instrument against the conservative governments of Hungary and Poland.</w:t>
      </w:r>
    </w:p>
    <w:p w14:paraId="54CA37A0" w14:textId="12676BBF" w:rsidR="00677288" w:rsidRPr="002A77DE" w:rsidRDefault="00677288" w:rsidP="001D12B5">
      <w:pPr>
        <w:spacing w:after="0" w:line="240" w:lineRule="auto"/>
        <w:jc w:val="both"/>
        <w:rPr>
          <w:rFonts w:ascii="Times New Roman" w:hAnsi="Times New Roman" w:cs="Times New Roman"/>
          <w:sz w:val="24"/>
          <w:szCs w:val="24"/>
        </w:rPr>
      </w:pPr>
      <w:r w:rsidRPr="002A77DE">
        <w:rPr>
          <w:rFonts w:ascii="Times New Roman" w:hAnsi="Times New Roman" w:cs="Times New Roman"/>
          <w:sz w:val="24"/>
          <w:szCs w:val="24"/>
        </w:rPr>
        <w:t>In autumn</w:t>
      </w:r>
      <w:r>
        <w:rPr>
          <w:rFonts w:ascii="Times New Roman" w:hAnsi="Times New Roman" w:cs="Times New Roman"/>
          <w:sz w:val="24"/>
          <w:szCs w:val="24"/>
        </w:rPr>
        <w:t xml:space="preserve"> </w:t>
      </w:r>
      <w:r w:rsidRPr="002A77DE">
        <w:rPr>
          <w:rFonts w:ascii="Times New Roman" w:hAnsi="Times New Roman" w:cs="Times New Roman"/>
          <w:sz w:val="24"/>
          <w:szCs w:val="24"/>
        </w:rPr>
        <w:t>2022, the European Commission proposed to suspend part of EU funding to Hungary: 65% of the regional funds for the years 2021-2027 which amounts to € 7,5 billion</w:t>
      </w:r>
      <w:r w:rsidRPr="002A77DE">
        <w:rPr>
          <w:rFonts w:ascii="Times New Roman" w:hAnsi="Times New Roman" w:cs="Times New Roman"/>
          <w:sz w:val="24"/>
          <w:szCs w:val="24"/>
          <w:vertAlign w:val="superscript"/>
        </w:rPr>
        <w:footnoteReference w:id="109"/>
      </w:r>
      <w:r w:rsidRPr="002A77DE">
        <w:rPr>
          <w:rFonts w:ascii="Times New Roman" w:hAnsi="Times New Roman" w:cs="Times New Roman"/>
          <w:sz w:val="24"/>
          <w:szCs w:val="24"/>
        </w:rPr>
        <w:t xml:space="preserve">, and in December 2022, the Council of the European Union and the European Commission finally decided to freeze and tied to conditions Hungary’s access to those billions of euros of EU funds due to concerns over </w:t>
      </w:r>
      <w:r w:rsidR="00062F6C">
        <w:rPr>
          <w:rFonts w:ascii="Times New Roman" w:hAnsi="Times New Roman" w:cs="Times New Roman"/>
          <w:sz w:val="24"/>
          <w:szCs w:val="24"/>
        </w:rPr>
        <w:t>Rule of Law</w:t>
      </w:r>
      <w:r w:rsidRPr="002A77DE">
        <w:rPr>
          <w:rFonts w:ascii="Times New Roman" w:hAnsi="Times New Roman" w:cs="Times New Roman"/>
          <w:sz w:val="24"/>
          <w:szCs w:val="24"/>
        </w:rPr>
        <w:t xml:space="preserve"> and human rights problems.</w:t>
      </w:r>
      <w:r w:rsidRPr="002A77DE">
        <w:rPr>
          <w:rFonts w:ascii="Times New Roman" w:hAnsi="Times New Roman" w:cs="Times New Roman"/>
          <w:sz w:val="24"/>
          <w:szCs w:val="24"/>
          <w:vertAlign w:val="superscript"/>
        </w:rPr>
        <w:footnoteReference w:id="110"/>
      </w:r>
    </w:p>
    <w:p w14:paraId="6CC4C898" w14:textId="588770A5" w:rsidR="00677288" w:rsidRPr="002A77DE" w:rsidRDefault="00677288" w:rsidP="001D12B5">
      <w:pPr>
        <w:spacing w:after="0" w:line="240" w:lineRule="auto"/>
        <w:jc w:val="both"/>
        <w:rPr>
          <w:rFonts w:ascii="Times New Roman" w:hAnsi="Times New Roman" w:cs="Times New Roman"/>
          <w:sz w:val="24"/>
          <w:szCs w:val="24"/>
        </w:rPr>
      </w:pPr>
      <w:r w:rsidRPr="002A77DE">
        <w:rPr>
          <w:rFonts w:ascii="Times New Roman" w:hAnsi="Times New Roman" w:cs="Times New Roman"/>
          <w:sz w:val="24"/>
          <w:szCs w:val="24"/>
        </w:rPr>
        <w:t xml:space="preserve">Trying to reverse the situation, Hungary agreed to unblock several crucial EU decisions that require unanimity among EU </w:t>
      </w:r>
      <w:r w:rsidR="00062F6C">
        <w:rPr>
          <w:rFonts w:ascii="Times New Roman" w:hAnsi="Times New Roman" w:cs="Times New Roman"/>
          <w:sz w:val="24"/>
          <w:szCs w:val="24"/>
        </w:rPr>
        <w:t>Member States</w:t>
      </w:r>
      <w:r w:rsidRPr="002A77DE">
        <w:rPr>
          <w:rFonts w:ascii="Times New Roman" w:hAnsi="Times New Roman" w:cs="Times New Roman"/>
          <w:sz w:val="24"/>
          <w:szCs w:val="24"/>
        </w:rPr>
        <w:t xml:space="preserve"> that it had strategically voted </w:t>
      </w:r>
      <w:r w:rsidR="005939A6">
        <w:rPr>
          <w:rFonts w:ascii="Times New Roman" w:hAnsi="Times New Roman" w:cs="Times New Roman"/>
          <w:sz w:val="24"/>
          <w:szCs w:val="24"/>
        </w:rPr>
        <w:t xml:space="preserve">against </w:t>
      </w:r>
      <w:r w:rsidRPr="002A77DE">
        <w:rPr>
          <w:rFonts w:ascii="Times New Roman" w:hAnsi="Times New Roman" w:cs="Times New Roman"/>
          <w:sz w:val="24"/>
          <w:szCs w:val="24"/>
        </w:rPr>
        <w:t xml:space="preserve">(such as </w:t>
      </w:r>
      <w:r w:rsidR="005939A6">
        <w:rPr>
          <w:rFonts w:ascii="Times New Roman" w:hAnsi="Times New Roman" w:cs="Times New Roman"/>
          <w:sz w:val="24"/>
          <w:szCs w:val="24"/>
        </w:rPr>
        <w:t xml:space="preserve">the </w:t>
      </w:r>
      <w:r w:rsidRPr="002A77DE">
        <w:rPr>
          <w:rFonts w:ascii="Times New Roman" w:hAnsi="Times New Roman" w:cs="Times New Roman"/>
          <w:sz w:val="24"/>
          <w:szCs w:val="24"/>
        </w:rPr>
        <w:t>Ukraine support package, arms to Ukraine</w:t>
      </w:r>
      <w:r w:rsidRPr="002A77DE">
        <w:rPr>
          <w:rFonts w:ascii="Times New Roman" w:hAnsi="Times New Roman" w:cs="Times New Roman"/>
          <w:sz w:val="24"/>
          <w:szCs w:val="24"/>
          <w:vertAlign w:val="superscript"/>
        </w:rPr>
        <w:footnoteReference w:id="111"/>
      </w:r>
      <w:r w:rsidRPr="002A77DE">
        <w:rPr>
          <w:rFonts w:ascii="Times New Roman" w:hAnsi="Times New Roman" w:cs="Times New Roman"/>
          <w:sz w:val="24"/>
          <w:szCs w:val="24"/>
        </w:rPr>
        <w:t xml:space="preserve">, </w:t>
      </w:r>
      <w:r w:rsidR="005939A6">
        <w:rPr>
          <w:rFonts w:ascii="Times New Roman" w:hAnsi="Times New Roman" w:cs="Times New Roman"/>
          <w:sz w:val="24"/>
          <w:szCs w:val="24"/>
        </w:rPr>
        <w:t xml:space="preserve">the </w:t>
      </w:r>
      <w:r w:rsidRPr="002A77DE">
        <w:rPr>
          <w:rFonts w:ascii="Times New Roman" w:hAnsi="Times New Roman" w:cs="Times New Roman"/>
          <w:sz w:val="24"/>
          <w:szCs w:val="24"/>
        </w:rPr>
        <w:t>International Tax Deal</w:t>
      </w:r>
      <w:r w:rsidR="005939A6">
        <w:rPr>
          <w:rFonts w:ascii="Times New Roman" w:hAnsi="Times New Roman" w:cs="Times New Roman"/>
          <w:sz w:val="24"/>
          <w:szCs w:val="24"/>
        </w:rPr>
        <w:t>,</w:t>
      </w:r>
      <w:r w:rsidRPr="002A77DE">
        <w:rPr>
          <w:rFonts w:ascii="Times New Roman" w:hAnsi="Times New Roman" w:cs="Times New Roman"/>
          <w:sz w:val="24"/>
          <w:szCs w:val="24"/>
        </w:rPr>
        <w:t xml:space="preserve"> or Sweden's entry into NATO).</w:t>
      </w:r>
      <w:r w:rsidRPr="002A77DE">
        <w:rPr>
          <w:rFonts w:ascii="Times New Roman" w:hAnsi="Times New Roman" w:cs="Times New Roman"/>
          <w:sz w:val="24"/>
          <w:szCs w:val="24"/>
          <w:vertAlign w:val="superscript"/>
        </w:rPr>
        <w:footnoteReference w:id="112"/>
      </w:r>
      <w:r w:rsidRPr="002A77DE">
        <w:rPr>
          <w:rFonts w:ascii="Times New Roman" w:hAnsi="Times New Roman" w:cs="Times New Roman"/>
          <w:sz w:val="24"/>
          <w:szCs w:val="24"/>
        </w:rPr>
        <w:t xml:space="preserve"> In exchange</w:t>
      </w:r>
      <w:r w:rsidR="005939A6">
        <w:rPr>
          <w:rFonts w:ascii="Times New Roman" w:hAnsi="Times New Roman" w:cs="Times New Roman"/>
          <w:sz w:val="24"/>
          <w:szCs w:val="24"/>
        </w:rPr>
        <w:t>,</w:t>
      </w:r>
      <w:r w:rsidRPr="002A77DE">
        <w:rPr>
          <w:rFonts w:ascii="Times New Roman" w:hAnsi="Times New Roman" w:cs="Times New Roman"/>
          <w:sz w:val="24"/>
          <w:szCs w:val="24"/>
        </w:rPr>
        <w:t xml:space="preserve"> less EU funds </w:t>
      </w:r>
      <w:r>
        <w:rPr>
          <w:rFonts w:ascii="Times New Roman" w:hAnsi="Times New Roman" w:cs="Times New Roman"/>
          <w:sz w:val="24"/>
          <w:szCs w:val="24"/>
        </w:rPr>
        <w:t>were</w:t>
      </w:r>
      <w:r w:rsidRPr="002A77DE">
        <w:rPr>
          <w:rFonts w:ascii="Times New Roman" w:hAnsi="Times New Roman" w:cs="Times New Roman"/>
          <w:sz w:val="24"/>
          <w:szCs w:val="24"/>
        </w:rPr>
        <w:t xml:space="preserve"> frozen: just 55% (€ 6,3 </w:t>
      </w:r>
      <w:r w:rsidRPr="002A77DE">
        <w:rPr>
          <w:rFonts w:ascii="Times New Roman" w:hAnsi="Times New Roman" w:cs="Times New Roman"/>
          <w:sz w:val="24"/>
          <w:szCs w:val="24"/>
        </w:rPr>
        <w:lastRenderedPageBreak/>
        <w:t xml:space="preserve">billion). It </w:t>
      </w:r>
      <w:r>
        <w:rPr>
          <w:rFonts w:ascii="Times New Roman" w:hAnsi="Times New Roman" w:cs="Times New Roman"/>
          <w:sz w:val="24"/>
          <w:szCs w:val="24"/>
        </w:rPr>
        <w:t>was</w:t>
      </w:r>
      <w:r w:rsidRPr="002A77DE">
        <w:rPr>
          <w:rFonts w:ascii="Times New Roman" w:hAnsi="Times New Roman" w:cs="Times New Roman"/>
          <w:sz w:val="24"/>
          <w:szCs w:val="24"/>
        </w:rPr>
        <w:t xml:space="preserve"> still a huge amount for Hungary, representing over 3% of the annual economic output of the country.</w:t>
      </w:r>
      <w:r w:rsidRPr="002A77DE">
        <w:rPr>
          <w:rFonts w:ascii="Times New Roman" w:hAnsi="Times New Roman" w:cs="Times New Roman"/>
          <w:sz w:val="24"/>
          <w:szCs w:val="24"/>
          <w:vertAlign w:val="superscript"/>
        </w:rPr>
        <w:footnoteReference w:id="113"/>
      </w:r>
    </w:p>
    <w:p w14:paraId="54505665" w14:textId="5830A361" w:rsidR="00677288" w:rsidRPr="002A77DE" w:rsidRDefault="00677288" w:rsidP="001D12B5">
      <w:pPr>
        <w:spacing w:after="0" w:line="240" w:lineRule="auto"/>
        <w:jc w:val="both"/>
        <w:rPr>
          <w:rFonts w:ascii="Times New Roman" w:hAnsi="Times New Roman" w:cs="Times New Roman"/>
          <w:sz w:val="24"/>
          <w:szCs w:val="24"/>
        </w:rPr>
      </w:pPr>
      <w:r w:rsidRPr="002A77DE">
        <w:rPr>
          <w:rFonts w:ascii="Times New Roman" w:hAnsi="Times New Roman" w:cs="Times New Roman"/>
          <w:sz w:val="24"/>
          <w:szCs w:val="24"/>
        </w:rPr>
        <w:t xml:space="preserve">Hungary’s Recovery and Resilience Plan (RRP) </w:t>
      </w:r>
      <w:r w:rsidR="005939A6">
        <w:rPr>
          <w:rFonts w:ascii="Times New Roman" w:hAnsi="Times New Roman" w:cs="Times New Roman"/>
          <w:sz w:val="24"/>
          <w:szCs w:val="24"/>
        </w:rPr>
        <w:t>for</w:t>
      </w:r>
      <w:r w:rsidRPr="002A77DE">
        <w:rPr>
          <w:rFonts w:ascii="Times New Roman" w:hAnsi="Times New Roman" w:cs="Times New Roman"/>
          <w:sz w:val="24"/>
          <w:szCs w:val="24"/>
        </w:rPr>
        <w:t xml:space="preserve"> € 5,8 billion was the last approved by the European Commission, and was finally approved by the Council, on 12 December 2022, with the condition </w:t>
      </w:r>
      <w:r w:rsidR="005939A6">
        <w:rPr>
          <w:rFonts w:ascii="Times New Roman" w:hAnsi="Times New Roman" w:cs="Times New Roman"/>
          <w:sz w:val="24"/>
          <w:szCs w:val="24"/>
        </w:rPr>
        <w:t xml:space="preserve">that </w:t>
      </w:r>
      <w:r w:rsidRPr="002A77DE">
        <w:rPr>
          <w:rFonts w:ascii="Times New Roman" w:hAnsi="Times New Roman" w:cs="Times New Roman"/>
          <w:sz w:val="24"/>
          <w:szCs w:val="24"/>
        </w:rPr>
        <w:t xml:space="preserve">Budapest implements reforms to increase judicial independence and tackle corruption (as on the regional funds). A new set of measures </w:t>
      </w:r>
      <w:r w:rsidR="0028589F" w:rsidRPr="002A77DE">
        <w:rPr>
          <w:rFonts w:ascii="Times New Roman" w:hAnsi="Times New Roman" w:cs="Times New Roman"/>
          <w:sz w:val="24"/>
          <w:szCs w:val="24"/>
        </w:rPr>
        <w:t>was</w:t>
      </w:r>
      <w:r w:rsidRPr="002A77DE">
        <w:rPr>
          <w:rFonts w:ascii="Times New Roman" w:hAnsi="Times New Roman" w:cs="Times New Roman"/>
          <w:sz w:val="24"/>
          <w:szCs w:val="24"/>
        </w:rPr>
        <w:t xml:space="preserve"> added to the original plan, containing 38 measures with 111 milestones and targets. Of these, 27 milestones are referred to as “super milestones”, without which no payment under the RRP will be allowed. Four of those concern the judiciary. One of the expected judicial reforms requires the Hungarian government to remove the possibility for public authorities to challenge final judicial decisions at the Constitutional Court.</w:t>
      </w:r>
    </w:p>
    <w:p w14:paraId="290F3F2D" w14:textId="77777777" w:rsidR="00677288" w:rsidRPr="002A77DE" w:rsidRDefault="00677288" w:rsidP="001D12B5">
      <w:pPr>
        <w:spacing w:after="0" w:line="240" w:lineRule="auto"/>
        <w:jc w:val="both"/>
        <w:rPr>
          <w:rFonts w:ascii="Times New Roman" w:hAnsi="Times New Roman" w:cs="Times New Roman"/>
          <w:sz w:val="24"/>
          <w:szCs w:val="24"/>
        </w:rPr>
      </w:pPr>
      <w:r w:rsidRPr="002A77DE">
        <w:rPr>
          <w:rFonts w:ascii="Times New Roman" w:hAnsi="Times New Roman" w:cs="Times New Roman"/>
          <w:sz w:val="24"/>
          <w:szCs w:val="24"/>
        </w:rPr>
        <w:t>On 18 January</w:t>
      </w:r>
      <w:r>
        <w:rPr>
          <w:rFonts w:ascii="Times New Roman" w:hAnsi="Times New Roman" w:cs="Times New Roman"/>
          <w:sz w:val="24"/>
          <w:szCs w:val="24"/>
        </w:rPr>
        <w:t xml:space="preserve"> 2023</w:t>
      </w:r>
      <w:r w:rsidRPr="002A77DE">
        <w:rPr>
          <w:rFonts w:ascii="Times New Roman" w:hAnsi="Times New Roman" w:cs="Times New Roman"/>
          <w:sz w:val="24"/>
          <w:szCs w:val="24"/>
        </w:rPr>
        <w:t>, the Hungarian government published and submitted for public consultation a draft law on the judiciary. The amendments are essential to fulfil the super milestones set by the EU, so that Hungary c</w:t>
      </w:r>
      <w:r>
        <w:rPr>
          <w:rFonts w:ascii="Times New Roman" w:hAnsi="Times New Roman" w:cs="Times New Roman"/>
          <w:sz w:val="24"/>
          <w:szCs w:val="24"/>
        </w:rPr>
        <w:t>ould</w:t>
      </w:r>
      <w:r w:rsidRPr="002A77DE">
        <w:rPr>
          <w:rFonts w:ascii="Times New Roman" w:hAnsi="Times New Roman" w:cs="Times New Roman"/>
          <w:sz w:val="24"/>
          <w:szCs w:val="24"/>
        </w:rPr>
        <w:t xml:space="preserve"> access frozen EU funds. Nevertheless, compliance with the super milestones </w:t>
      </w:r>
      <w:r>
        <w:rPr>
          <w:rFonts w:ascii="Times New Roman" w:hAnsi="Times New Roman" w:cs="Times New Roman"/>
          <w:sz w:val="24"/>
          <w:szCs w:val="24"/>
        </w:rPr>
        <w:t>was</w:t>
      </w:r>
      <w:r w:rsidRPr="002A77DE">
        <w:rPr>
          <w:rFonts w:ascii="Times New Roman" w:hAnsi="Times New Roman" w:cs="Times New Roman"/>
          <w:sz w:val="24"/>
          <w:szCs w:val="24"/>
        </w:rPr>
        <w:t xml:space="preserve"> still insufficient under the reform measures undertaken by Hungary.</w:t>
      </w:r>
    </w:p>
    <w:p w14:paraId="48F77D0F" w14:textId="3F212ADA" w:rsidR="00677288" w:rsidRDefault="00677288" w:rsidP="001D12B5">
      <w:pPr>
        <w:spacing w:after="0" w:line="240" w:lineRule="auto"/>
        <w:jc w:val="both"/>
        <w:rPr>
          <w:rFonts w:ascii="Times New Roman" w:hAnsi="Times New Roman" w:cs="Times New Roman"/>
          <w:sz w:val="24"/>
          <w:szCs w:val="24"/>
        </w:rPr>
      </w:pPr>
      <w:r w:rsidRPr="002A77DE">
        <w:rPr>
          <w:rFonts w:ascii="Times New Roman" w:hAnsi="Times New Roman" w:cs="Times New Roman"/>
          <w:sz w:val="24"/>
          <w:szCs w:val="24"/>
        </w:rPr>
        <w:t xml:space="preserve">In fact, according to Hungarian civil society </w:t>
      </w:r>
      <w:r w:rsidR="0028589F" w:rsidRPr="002A77DE">
        <w:rPr>
          <w:rFonts w:ascii="Times New Roman" w:hAnsi="Times New Roman" w:cs="Times New Roman"/>
          <w:sz w:val="24"/>
          <w:szCs w:val="24"/>
        </w:rPr>
        <w:t>organizations</w:t>
      </w:r>
      <w:r w:rsidRPr="002A77DE">
        <w:rPr>
          <w:rFonts w:ascii="Times New Roman" w:hAnsi="Times New Roman" w:cs="Times New Roman"/>
          <w:sz w:val="24"/>
          <w:szCs w:val="24"/>
        </w:rPr>
        <w:t xml:space="preserve"> (Amnesty International Hungary, the Eötvös Károly Institute, the Hungarian Civil Liberties Union, the Hungarian Helsinki Committee, K-Monitor and Transparency International Hungary…</w:t>
      </w:r>
      <w:r w:rsidRPr="002A77DE">
        <w:rPr>
          <w:rFonts w:ascii="Times New Roman" w:hAnsi="Times New Roman" w:cs="Times New Roman"/>
          <w:sz w:val="24"/>
          <w:szCs w:val="24"/>
          <w:vertAlign w:val="superscript"/>
        </w:rPr>
        <w:footnoteReference w:id="114"/>
      </w:r>
      <w:r w:rsidRPr="002A77DE">
        <w:rPr>
          <w:rFonts w:ascii="Times New Roman" w:hAnsi="Times New Roman" w:cs="Times New Roman"/>
          <w:sz w:val="24"/>
          <w:szCs w:val="24"/>
        </w:rPr>
        <w:t>), up until the end of March</w:t>
      </w:r>
      <w:r>
        <w:rPr>
          <w:rFonts w:ascii="Times New Roman" w:hAnsi="Times New Roman" w:cs="Times New Roman"/>
          <w:sz w:val="24"/>
          <w:szCs w:val="24"/>
        </w:rPr>
        <w:t xml:space="preserve"> 2023</w:t>
      </w:r>
      <w:r w:rsidRPr="002A77DE">
        <w:rPr>
          <w:rFonts w:ascii="Times New Roman" w:hAnsi="Times New Roman" w:cs="Times New Roman"/>
          <w:sz w:val="24"/>
          <w:szCs w:val="24"/>
        </w:rPr>
        <w:t xml:space="preserve">, the government had not yet taken adequate steps to fully address the </w:t>
      </w:r>
      <w:r w:rsidR="00062F6C">
        <w:rPr>
          <w:rFonts w:ascii="Times New Roman" w:hAnsi="Times New Roman" w:cs="Times New Roman"/>
          <w:sz w:val="24"/>
          <w:szCs w:val="24"/>
        </w:rPr>
        <w:t>Rule of Law</w:t>
      </w:r>
      <w:r w:rsidRPr="002A77DE">
        <w:rPr>
          <w:rFonts w:ascii="Times New Roman" w:hAnsi="Times New Roman" w:cs="Times New Roman"/>
          <w:sz w:val="24"/>
          <w:szCs w:val="24"/>
        </w:rPr>
        <w:t xml:space="preserve"> and human rights concerns raised by the European Union.</w:t>
      </w:r>
      <w:r w:rsidRPr="002A77DE">
        <w:rPr>
          <w:rFonts w:ascii="Times New Roman" w:hAnsi="Times New Roman" w:cs="Times New Roman"/>
          <w:sz w:val="24"/>
          <w:szCs w:val="24"/>
          <w:vertAlign w:val="superscript"/>
        </w:rPr>
        <w:footnoteReference w:id="115"/>
      </w:r>
      <w:r w:rsidRPr="002A77DE">
        <w:rPr>
          <w:rFonts w:ascii="Times New Roman" w:hAnsi="Times New Roman" w:cs="Times New Roman"/>
          <w:sz w:val="24"/>
          <w:szCs w:val="24"/>
        </w:rPr>
        <w:t xml:space="preserve"> Numerous issues related to judicial independence but also to the anti-corruption framework, the predictability, quality</w:t>
      </w:r>
      <w:r w:rsidR="005939A6">
        <w:rPr>
          <w:rFonts w:ascii="Times New Roman" w:hAnsi="Times New Roman" w:cs="Times New Roman"/>
          <w:sz w:val="24"/>
          <w:szCs w:val="24"/>
        </w:rPr>
        <w:t>,</w:t>
      </w:r>
      <w:r w:rsidRPr="002A77DE">
        <w:rPr>
          <w:rFonts w:ascii="Times New Roman" w:hAnsi="Times New Roman" w:cs="Times New Roman"/>
          <w:sz w:val="24"/>
          <w:szCs w:val="24"/>
        </w:rPr>
        <w:t xml:space="preserve"> and transparency of law-making, the rights of refugees and asylum-seekers, academic freedom</w:t>
      </w:r>
      <w:r w:rsidR="005939A6">
        <w:rPr>
          <w:rFonts w:ascii="Times New Roman" w:hAnsi="Times New Roman" w:cs="Times New Roman"/>
          <w:sz w:val="24"/>
          <w:szCs w:val="24"/>
        </w:rPr>
        <w:t>,</w:t>
      </w:r>
      <w:r w:rsidRPr="002A77DE">
        <w:rPr>
          <w:rFonts w:ascii="Times New Roman" w:hAnsi="Times New Roman" w:cs="Times New Roman"/>
          <w:sz w:val="24"/>
          <w:szCs w:val="24"/>
        </w:rPr>
        <w:t xml:space="preserve"> and the rights of LGBTQI+ persons remain unresolved. Swift measures </w:t>
      </w:r>
      <w:r>
        <w:rPr>
          <w:rFonts w:ascii="Times New Roman" w:hAnsi="Times New Roman" w:cs="Times New Roman"/>
          <w:sz w:val="24"/>
          <w:szCs w:val="24"/>
        </w:rPr>
        <w:t>were</w:t>
      </w:r>
      <w:r w:rsidRPr="002A77DE">
        <w:rPr>
          <w:rFonts w:ascii="Times New Roman" w:hAnsi="Times New Roman" w:cs="Times New Roman"/>
          <w:sz w:val="24"/>
          <w:szCs w:val="24"/>
        </w:rPr>
        <w:t xml:space="preserve"> necessary in all these areas to ensure that the country and its citizens are granted access to the EU funds.</w:t>
      </w:r>
    </w:p>
    <w:p w14:paraId="1B826F49" w14:textId="77777777" w:rsidR="00161594" w:rsidRDefault="00161594" w:rsidP="001D12B5">
      <w:pPr>
        <w:spacing w:after="0" w:line="240" w:lineRule="auto"/>
        <w:jc w:val="both"/>
        <w:rPr>
          <w:rFonts w:ascii="Times New Roman" w:hAnsi="Times New Roman" w:cs="Times New Roman"/>
          <w:sz w:val="24"/>
          <w:szCs w:val="24"/>
        </w:rPr>
      </w:pPr>
    </w:p>
    <w:p w14:paraId="4F6435BB" w14:textId="13B48ADF" w:rsidR="00810E58" w:rsidRPr="00826DA3" w:rsidRDefault="00826DA3" w:rsidP="001D12B5">
      <w:pPr>
        <w:pStyle w:val="Prrafodelista"/>
        <w:numPr>
          <w:ilvl w:val="1"/>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10E58" w:rsidRPr="00826DA3">
        <w:rPr>
          <w:rFonts w:ascii="Times New Roman" w:hAnsi="Times New Roman" w:cs="Times New Roman"/>
          <w:sz w:val="24"/>
          <w:szCs w:val="24"/>
        </w:rPr>
        <w:t xml:space="preserve">Domestic </w:t>
      </w:r>
      <w:r w:rsidRPr="00826DA3">
        <w:rPr>
          <w:rFonts w:ascii="Times New Roman" w:hAnsi="Times New Roman" w:cs="Times New Roman"/>
          <w:sz w:val="24"/>
          <w:szCs w:val="24"/>
        </w:rPr>
        <w:t>P</w:t>
      </w:r>
      <w:r w:rsidR="00810E58" w:rsidRPr="00826DA3">
        <w:rPr>
          <w:rFonts w:ascii="Times New Roman" w:hAnsi="Times New Roman" w:cs="Times New Roman"/>
          <w:sz w:val="24"/>
          <w:szCs w:val="24"/>
        </w:rPr>
        <w:t xml:space="preserve">olitical </w:t>
      </w:r>
      <w:r w:rsidRPr="00826DA3">
        <w:rPr>
          <w:rFonts w:ascii="Times New Roman" w:hAnsi="Times New Roman" w:cs="Times New Roman"/>
          <w:sz w:val="24"/>
          <w:szCs w:val="24"/>
        </w:rPr>
        <w:t>R</w:t>
      </w:r>
      <w:r w:rsidR="00810E58" w:rsidRPr="00826DA3">
        <w:rPr>
          <w:rFonts w:ascii="Times New Roman" w:hAnsi="Times New Roman" w:cs="Times New Roman"/>
          <w:sz w:val="24"/>
          <w:szCs w:val="24"/>
        </w:rPr>
        <w:t>esistance</w:t>
      </w:r>
    </w:p>
    <w:p w14:paraId="32355DF2" w14:textId="1F16B94E" w:rsidR="00810E58" w:rsidRPr="00810E58" w:rsidRDefault="00810E58"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Domestic political resistance</w:t>
      </w:r>
      <w:r w:rsidR="007B2C1B">
        <w:rPr>
          <w:rFonts w:ascii="Times New Roman" w:hAnsi="Times New Roman" w:cs="Times New Roman"/>
          <w:sz w:val="24"/>
          <w:szCs w:val="24"/>
        </w:rPr>
        <w:t>,</w:t>
      </w:r>
      <w:r w:rsidR="007B2C1B" w:rsidRPr="007B2C1B">
        <w:rPr>
          <w:rFonts w:ascii="Times New Roman" w:hAnsi="Times New Roman" w:cs="Times New Roman"/>
          <w:sz w:val="24"/>
          <w:szCs w:val="24"/>
        </w:rPr>
        <w:t xml:space="preserve"> </w:t>
      </w:r>
      <w:r w:rsidR="007B2C1B">
        <w:rPr>
          <w:rFonts w:ascii="Times New Roman" w:hAnsi="Times New Roman" w:cs="Times New Roman"/>
          <w:sz w:val="24"/>
          <w:szCs w:val="24"/>
        </w:rPr>
        <w:t>mainly the activity of opposition parties and the movements of civil society,</w:t>
      </w:r>
      <w:r>
        <w:rPr>
          <w:rFonts w:ascii="Times New Roman" w:hAnsi="Times New Roman" w:cs="Times New Roman"/>
          <w:sz w:val="24"/>
          <w:szCs w:val="24"/>
        </w:rPr>
        <w:t xml:space="preserve"> is also important in fighting the </w:t>
      </w:r>
      <w:r w:rsidR="00062F6C">
        <w:rPr>
          <w:rFonts w:ascii="Times New Roman" w:hAnsi="Times New Roman" w:cs="Times New Roman"/>
          <w:sz w:val="24"/>
          <w:szCs w:val="24"/>
        </w:rPr>
        <w:t>Rule of Law</w:t>
      </w:r>
      <w:r>
        <w:rPr>
          <w:rFonts w:ascii="Times New Roman" w:hAnsi="Times New Roman" w:cs="Times New Roman"/>
          <w:sz w:val="24"/>
          <w:szCs w:val="24"/>
        </w:rPr>
        <w:t xml:space="preserve"> backsliding.</w:t>
      </w:r>
      <w:r w:rsidR="007B2C1B">
        <w:rPr>
          <w:rFonts w:ascii="Times New Roman" w:hAnsi="Times New Roman" w:cs="Times New Roman"/>
          <w:sz w:val="24"/>
          <w:szCs w:val="24"/>
        </w:rPr>
        <w:t xml:space="preserve"> </w:t>
      </w:r>
      <w:r>
        <w:rPr>
          <w:rFonts w:ascii="Times New Roman" w:hAnsi="Times New Roman" w:cs="Times New Roman"/>
          <w:sz w:val="24"/>
          <w:szCs w:val="24"/>
        </w:rPr>
        <w:t xml:space="preserve">Political parties, journalists, legal experts, and activists have mobilized </w:t>
      </w:r>
      <w:r w:rsidR="006466A2">
        <w:rPr>
          <w:rFonts w:ascii="Times New Roman" w:hAnsi="Times New Roman" w:cs="Times New Roman"/>
          <w:sz w:val="24"/>
          <w:szCs w:val="24"/>
        </w:rPr>
        <w:t>protests</w:t>
      </w:r>
      <w:r>
        <w:rPr>
          <w:rFonts w:ascii="Times New Roman" w:hAnsi="Times New Roman" w:cs="Times New Roman"/>
          <w:sz w:val="24"/>
          <w:szCs w:val="24"/>
        </w:rPr>
        <w:t xml:space="preserve"> and legal challenges </w:t>
      </w:r>
      <w:r w:rsidR="006466A2">
        <w:rPr>
          <w:rFonts w:ascii="Times New Roman" w:hAnsi="Times New Roman" w:cs="Times New Roman"/>
          <w:sz w:val="24"/>
          <w:szCs w:val="24"/>
        </w:rPr>
        <w:t>against the government's reforms.</w:t>
      </w:r>
    </w:p>
    <w:p w14:paraId="68045E1E" w14:textId="566EBC63" w:rsidR="00C61D3B" w:rsidRDefault="00D3547F" w:rsidP="001D12B5">
      <w:pPr>
        <w:spacing w:after="0" w:line="240" w:lineRule="auto"/>
        <w:jc w:val="both"/>
        <w:rPr>
          <w:rFonts w:ascii="Times New Roman" w:hAnsi="Times New Roman" w:cs="Times New Roman"/>
          <w:sz w:val="24"/>
          <w:szCs w:val="24"/>
        </w:rPr>
      </w:pPr>
      <w:r w:rsidRPr="00D3547F">
        <w:rPr>
          <w:rFonts w:ascii="Times New Roman" w:hAnsi="Times New Roman" w:cs="Times New Roman"/>
          <w:sz w:val="24"/>
          <w:szCs w:val="24"/>
        </w:rPr>
        <w:t>Opposition parties in Hungary and Poland have played a crucial role in resisting judicial constraints, often leveraging parliamentary debates, public campaigns, and alliances with European institutions. However, their effectiveness has been limited by electoral disadvantages, government control over state media, and political fragmentation.</w:t>
      </w:r>
    </w:p>
    <w:p w14:paraId="582D9A51" w14:textId="5A11E7E7" w:rsidR="00D3547F" w:rsidRDefault="006D437E"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w:t>
      </w:r>
      <w:r w:rsidR="00D3547F">
        <w:rPr>
          <w:rFonts w:ascii="Times New Roman" w:hAnsi="Times New Roman" w:cs="Times New Roman"/>
          <w:sz w:val="24"/>
          <w:szCs w:val="24"/>
        </w:rPr>
        <w:t xml:space="preserve"> the other hand, p</w:t>
      </w:r>
      <w:r w:rsidR="00D3547F" w:rsidRPr="00D3547F">
        <w:rPr>
          <w:rFonts w:ascii="Times New Roman" w:hAnsi="Times New Roman" w:cs="Times New Roman"/>
          <w:sz w:val="24"/>
          <w:szCs w:val="24"/>
        </w:rPr>
        <w:t xml:space="preserve">ro-democracy movements and non-governmental organizations (NGOs) have actively </w:t>
      </w:r>
      <w:r w:rsidR="007B2C1B" w:rsidRPr="00D3547F">
        <w:rPr>
          <w:rFonts w:ascii="Times New Roman" w:hAnsi="Times New Roman" w:cs="Times New Roman"/>
          <w:sz w:val="24"/>
          <w:szCs w:val="24"/>
        </w:rPr>
        <w:t>protested</w:t>
      </w:r>
      <w:r w:rsidR="00D3547F" w:rsidRPr="00D3547F">
        <w:rPr>
          <w:rFonts w:ascii="Times New Roman" w:hAnsi="Times New Roman" w:cs="Times New Roman"/>
          <w:sz w:val="24"/>
          <w:szCs w:val="24"/>
        </w:rPr>
        <w:t xml:space="preserve"> judicial reforms. In Poland, mass protests, such as those organized by the Committee for the Defen</w:t>
      </w:r>
      <w:r w:rsidR="00375579">
        <w:rPr>
          <w:rFonts w:ascii="Times New Roman" w:hAnsi="Times New Roman" w:cs="Times New Roman"/>
          <w:sz w:val="24"/>
          <w:szCs w:val="24"/>
        </w:rPr>
        <w:t>c</w:t>
      </w:r>
      <w:r w:rsidR="00D3547F" w:rsidRPr="00D3547F">
        <w:rPr>
          <w:rFonts w:ascii="Times New Roman" w:hAnsi="Times New Roman" w:cs="Times New Roman"/>
          <w:sz w:val="24"/>
          <w:szCs w:val="24"/>
        </w:rPr>
        <w:t>e of Democracy (KOD), have demonstrated widespread public opposition. Hungarian civil society, despite government restrictions on foreign-funded NGOs, has mobilized against judicial interference through awareness campaigns and international advocacy.</w:t>
      </w:r>
    </w:p>
    <w:p w14:paraId="2FA67163" w14:textId="4E282BA4" w:rsidR="00D3547F" w:rsidRPr="00D3547F" w:rsidRDefault="00D3547F" w:rsidP="001D12B5">
      <w:pPr>
        <w:spacing w:after="0" w:line="240" w:lineRule="auto"/>
        <w:jc w:val="both"/>
        <w:rPr>
          <w:rFonts w:ascii="Times New Roman" w:hAnsi="Times New Roman" w:cs="Times New Roman"/>
          <w:sz w:val="24"/>
          <w:szCs w:val="24"/>
        </w:rPr>
      </w:pPr>
      <w:r w:rsidRPr="00D3547F">
        <w:rPr>
          <w:rFonts w:ascii="Times New Roman" w:hAnsi="Times New Roman" w:cs="Times New Roman"/>
          <w:sz w:val="24"/>
          <w:szCs w:val="24"/>
        </w:rPr>
        <w:lastRenderedPageBreak/>
        <w:t xml:space="preserve">Judges’ associations, bar councils, and legal scholars have </w:t>
      </w:r>
      <w:r>
        <w:rPr>
          <w:rFonts w:ascii="Times New Roman" w:hAnsi="Times New Roman" w:cs="Times New Roman"/>
          <w:sz w:val="24"/>
          <w:szCs w:val="24"/>
        </w:rPr>
        <w:t xml:space="preserve">also </w:t>
      </w:r>
      <w:r w:rsidRPr="00D3547F">
        <w:rPr>
          <w:rFonts w:ascii="Times New Roman" w:hAnsi="Times New Roman" w:cs="Times New Roman"/>
          <w:sz w:val="24"/>
          <w:szCs w:val="24"/>
        </w:rPr>
        <w:t xml:space="preserve">been vocal in denouncing judicial erosion. </w:t>
      </w:r>
      <w:r w:rsidR="00455B15">
        <w:rPr>
          <w:rFonts w:ascii="Times New Roman" w:hAnsi="Times New Roman" w:cs="Times New Roman"/>
          <w:sz w:val="24"/>
          <w:szCs w:val="24"/>
        </w:rPr>
        <w:t>The judiciary itself</w:t>
      </w:r>
      <w:r w:rsidR="000658CF">
        <w:rPr>
          <w:rFonts w:ascii="Times New Roman" w:hAnsi="Times New Roman" w:cs="Times New Roman"/>
          <w:sz w:val="24"/>
          <w:szCs w:val="24"/>
        </w:rPr>
        <w:t xml:space="preserve"> (judges and legal associations) has openly challenged governmental interference. </w:t>
      </w:r>
      <w:r w:rsidRPr="00D3547F">
        <w:rPr>
          <w:rFonts w:ascii="Times New Roman" w:hAnsi="Times New Roman" w:cs="Times New Roman"/>
          <w:sz w:val="24"/>
          <w:szCs w:val="24"/>
        </w:rPr>
        <w:t xml:space="preserve">In Poland, the Supreme Court and the National Council of the Judiciary have challenged government measures at the </w:t>
      </w:r>
      <w:r w:rsidR="00566BFF" w:rsidRPr="00566BFF">
        <w:rPr>
          <w:rFonts w:ascii="Times New Roman" w:hAnsi="Times New Roman" w:cs="Times New Roman"/>
          <w:sz w:val="24"/>
          <w:szCs w:val="24"/>
        </w:rPr>
        <w:t>CJEU</w:t>
      </w:r>
      <w:r w:rsidRPr="00D3547F">
        <w:rPr>
          <w:rFonts w:ascii="Times New Roman" w:hAnsi="Times New Roman" w:cs="Times New Roman"/>
          <w:sz w:val="24"/>
          <w:szCs w:val="24"/>
        </w:rPr>
        <w:t>. In Hungary, lawyers</w:t>
      </w:r>
      <w:r w:rsidR="000658CF">
        <w:rPr>
          <w:rFonts w:ascii="Times New Roman" w:hAnsi="Times New Roman" w:cs="Times New Roman"/>
          <w:sz w:val="24"/>
          <w:szCs w:val="24"/>
        </w:rPr>
        <w:t>, bar associations,</w:t>
      </w:r>
      <w:r w:rsidRPr="00D3547F">
        <w:rPr>
          <w:rFonts w:ascii="Times New Roman" w:hAnsi="Times New Roman" w:cs="Times New Roman"/>
          <w:sz w:val="24"/>
          <w:szCs w:val="24"/>
        </w:rPr>
        <w:t xml:space="preserve"> and former judges have criticized government overreach, though repression limits their capacity to organize resistance.</w:t>
      </w:r>
    </w:p>
    <w:p w14:paraId="364D48E9" w14:textId="7AC28917" w:rsidR="00D3547F" w:rsidRPr="00D3547F" w:rsidRDefault="00D3547F" w:rsidP="001D12B5">
      <w:pPr>
        <w:spacing w:after="0" w:line="240" w:lineRule="auto"/>
        <w:jc w:val="both"/>
        <w:rPr>
          <w:rFonts w:ascii="Times New Roman" w:hAnsi="Times New Roman" w:cs="Times New Roman"/>
          <w:sz w:val="24"/>
          <w:szCs w:val="24"/>
        </w:rPr>
      </w:pPr>
      <w:r w:rsidRPr="00D3547F">
        <w:rPr>
          <w:rFonts w:ascii="Times New Roman" w:hAnsi="Times New Roman" w:cs="Times New Roman"/>
          <w:sz w:val="24"/>
          <w:szCs w:val="24"/>
        </w:rPr>
        <w:t>Despite robust efforts, domestic resistance faces significant obstacles: the state capture of</w:t>
      </w:r>
      <w:r>
        <w:rPr>
          <w:rFonts w:ascii="Times New Roman" w:hAnsi="Times New Roman" w:cs="Times New Roman"/>
          <w:sz w:val="24"/>
          <w:szCs w:val="24"/>
        </w:rPr>
        <w:t xml:space="preserve"> institutions</w:t>
      </w:r>
      <w:r w:rsidR="00455B15">
        <w:rPr>
          <w:rFonts w:ascii="Times New Roman" w:hAnsi="Times New Roman" w:cs="Times New Roman"/>
          <w:sz w:val="24"/>
          <w:szCs w:val="24"/>
        </w:rPr>
        <w:t>, being an example, the</w:t>
      </w:r>
      <w:r w:rsidRPr="00D3547F">
        <w:rPr>
          <w:rFonts w:ascii="Times New Roman" w:hAnsi="Times New Roman" w:cs="Times New Roman"/>
          <w:sz w:val="24"/>
          <w:szCs w:val="24"/>
        </w:rPr>
        <w:t xml:space="preserve"> </w:t>
      </w:r>
      <w:r w:rsidR="00455B15">
        <w:rPr>
          <w:rFonts w:ascii="Times New Roman" w:hAnsi="Times New Roman" w:cs="Times New Roman"/>
          <w:sz w:val="24"/>
          <w:szCs w:val="24"/>
        </w:rPr>
        <w:t>government's</w:t>
      </w:r>
      <w:r w:rsidRPr="00D3547F">
        <w:rPr>
          <w:rFonts w:ascii="Times New Roman" w:hAnsi="Times New Roman" w:cs="Times New Roman"/>
          <w:sz w:val="24"/>
          <w:szCs w:val="24"/>
        </w:rPr>
        <w:t xml:space="preserve"> control over media, courts, and law enforcement reduces the impact of opposition voices</w:t>
      </w:r>
      <w:r w:rsidR="00455B15">
        <w:rPr>
          <w:rFonts w:ascii="Times New Roman" w:hAnsi="Times New Roman" w:cs="Times New Roman"/>
          <w:sz w:val="24"/>
          <w:szCs w:val="24"/>
        </w:rPr>
        <w:t>; legal repression (l</w:t>
      </w:r>
      <w:r w:rsidRPr="00D3547F">
        <w:rPr>
          <w:rFonts w:ascii="Times New Roman" w:hAnsi="Times New Roman" w:cs="Times New Roman"/>
          <w:sz w:val="24"/>
          <w:szCs w:val="24"/>
        </w:rPr>
        <w:t>aws restricting protests, NGO operations, and judicial independence undermine the effectiveness of resistance</w:t>
      </w:r>
      <w:r w:rsidR="00455B15">
        <w:rPr>
          <w:rFonts w:ascii="Times New Roman" w:hAnsi="Times New Roman" w:cs="Times New Roman"/>
          <w:sz w:val="24"/>
          <w:szCs w:val="24"/>
        </w:rPr>
        <w:t>); public polarization meaning that d</w:t>
      </w:r>
      <w:r w:rsidRPr="00D3547F">
        <w:rPr>
          <w:rFonts w:ascii="Times New Roman" w:hAnsi="Times New Roman" w:cs="Times New Roman"/>
          <w:sz w:val="24"/>
          <w:szCs w:val="24"/>
        </w:rPr>
        <w:t>ivisive rhetoric and nationalist narratives weaken solidarity among citizens and opposition groups</w:t>
      </w:r>
      <w:r w:rsidR="00455B15">
        <w:rPr>
          <w:rFonts w:ascii="Times New Roman" w:hAnsi="Times New Roman" w:cs="Times New Roman"/>
          <w:sz w:val="24"/>
          <w:szCs w:val="24"/>
        </w:rPr>
        <w:t>; and limited international leverage (even if</w:t>
      </w:r>
      <w:r w:rsidRPr="00D3547F">
        <w:rPr>
          <w:rFonts w:ascii="Times New Roman" w:hAnsi="Times New Roman" w:cs="Times New Roman"/>
          <w:sz w:val="24"/>
          <w:szCs w:val="24"/>
        </w:rPr>
        <w:t xml:space="preserve"> EU interventions offer some support, domestic actors often struggle to translate external pressure into internal political change</w:t>
      </w:r>
      <w:r w:rsidR="00455B15">
        <w:rPr>
          <w:rFonts w:ascii="Times New Roman" w:hAnsi="Times New Roman" w:cs="Times New Roman"/>
          <w:sz w:val="24"/>
          <w:szCs w:val="24"/>
        </w:rPr>
        <w:t>)</w:t>
      </w:r>
      <w:r w:rsidRPr="00D3547F">
        <w:rPr>
          <w:rFonts w:ascii="Times New Roman" w:hAnsi="Times New Roman" w:cs="Times New Roman"/>
          <w:sz w:val="24"/>
          <w:szCs w:val="24"/>
        </w:rPr>
        <w:t>.</w:t>
      </w:r>
    </w:p>
    <w:p w14:paraId="7B89A12A" w14:textId="77777777" w:rsidR="00D3547F" w:rsidRDefault="00D3547F" w:rsidP="001D12B5">
      <w:pPr>
        <w:spacing w:after="0" w:line="240" w:lineRule="auto"/>
        <w:jc w:val="both"/>
        <w:rPr>
          <w:rFonts w:ascii="Times New Roman" w:hAnsi="Times New Roman" w:cs="Times New Roman"/>
          <w:sz w:val="24"/>
          <w:szCs w:val="24"/>
        </w:rPr>
      </w:pPr>
      <w:r w:rsidRPr="00D3547F">
        <w:rPr>
          <w:rFonts w:ascii="Times New Roman" w:hAnsi="Times New Roman" w:cs="Times New Roman"/>
          <w:sz w:val="24"/>
          <w:szCs w:val="24"/>
        </w:rPr>
        <w:t>Domestic political resistance to judicial constraints in Hungary and Poland remains resilient but faces severe structural and legal impediments. While opposition parties, civil society organizations, and legal professionals continue to challenge backsliding, their success is constrained by government control over key institutions. The future of judicial independence in these countries will largely depend on sustained domestic mobilization and international support for democratic governance.</w:t>
      </w:r>
    </w:p>
    <w:p w14:paraId="471C6F8A" w14:textId="77777777" w:rsidR="003C036A" w:rsidRDefault="003C036A" w:rsidP="001D12B5">
      <w:pPr>
        <w:spacing w:after="0" w:line="240" w:lineRule="auto"/>
        <w:jc w:val="both"/>
        <w:rPr>
          <w:rFonts w:ascii="Times New Roman" w:hAnsi="Times New Roman" w:cs="Times New Roman"/>
          <w:sz w:val="24"/>
          <w:szCs w:val="24"/>
        </w:rPr>
      </w:pPr>
    </w:p>
    <w:p w14:paraId="15F52585" w14:textId="74493E28" w:rsidR="003C036A" w:rsidRPr="00826DA3" w:rsidRDefault="003C036A" w:rsidP="001D12B5">
      <w:pPr>
        <w:pStyle w:val="Prrafodelista"/>
        <w:numPr>
          <w:ilvl w:val="1"/>
          <w:numId w:val="22"/>
        </w:numPr>
        <w:spacing w:after="0" w:line="240" w:lineRule="auto"/>
        <w:ind w:left="0" w:firstLine="0"/>
        <w:jc w:val="both"/>
        <w:rPr>
          <w:rFonts w:ascii="Times New Roman" w:hAnsi="Times New Roman" w:cs="Times New Roman"/>
          <w:sz w:val="24"/>
          <w:szCs w:val="24"/>
        </w:rPr>
      </w:pPr>
      <w:r w:rsidRPr="00826DA3">
        <w:rPr>
          <w:rFonts w:ascii="Times New Roman" w:hAnsi="Times New Roman" w:cs="Times New Roman"/>
          <w:sz w:val="24"/>
          <w:szCs w:val="24"/>
        </w:rPr>
        <w:t>External Pressure and International Bodies</w:t>
      </w:r>
    </w:p>
    <w:p w14:paraId="73A4681A" w14:textId="1B9BC1FA" w:rsidR="003C036A" w:rsidRDefault="003C036A" w:rsidP="001D12B5">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Bilateral pressure from other EU </w:t>
      </w:r>
      <w:r w:rsidR="00062F6C">
        <w:rPr>
          <w:rFonts w:ascii="Times New Roman" w:hAnsi="Times New Roman" w:cs="Times New Roman"/>
          <w:sz w:val="24"/>
          <w:szCs w:val="24"/>
        </w:rPr>
        <w:t>Member States</w:t>
      </w:r>
      <w:r>
        <w:rPr>
          <w:rFonts w:ascii="Times New Roman" w:hAnsi="Times New Roman" w:cs="Times New Roman"/>
          <w:sz w:val="24"/>
          <w:szCs w:val="24"/>
        </w:rPr>
        <w:t>, as well as global powers such as the United States</w:t>
      </w:r>
      <w:r w:rsidR="0020731D">
        <w:rPr>
          <w:rFonts w:ascii="Times New Roman" w:hAnsi="Times New Roman" w:cs="Times New Roman"/>
          <w:sz w:val="24"/>
          <w:szCs w:val="24"/>
        </w:rPr>
        <w:t xml:space="preserve"> (US)</w:t>
      </w:r>
      <w:r>
        <w:rPr>
          <w:rFonts w:ascii="Times New Roman" w:hAnsi="Times New Roman" w:cs="Times New Roman"/>
          <w:sz w:val="24"/>
          <w:szCs w:val="24"/>
        </w:rPr>
        <w:t>, can serve as a deterrent against further democratic backsliding.</w:t>
      </w:r>
    </w:p>
    <w:p w14:paraId="623D9F13" w14:textId="7484CCE0" w:rsidR="003C036A" w:rsidRDefault="003C036A" w:rsidP="001D12B5">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This includes diplomatic efforts, public statements condemning the situation, and the threat of economic sanctions</w:t>
      </w:r>
      <w:r w:rsidR="0020731D">
        <w:rPr>
          <w:rFonts w:ascii="Times New Roman" w:hAnsi="Times New Roman" w:cs="Times New Roman"/>
          <w:sz w:val="24"/>
          <w:szCs w:val="24"/>
        </w:rPr>
        <w:t xml:space="preserve">. </w:t>
      </w:r>
      <w:r>
        <w:rPr>
          <w:rFonts w:ascii="Times New Roman" w:hAnsi="Times New Roman" w:cs="Times New Roman"/>
          <w:sz w:val="24"/>
          <w:szCs w:val="24"/>
        </w:rPr>
        <w:t xml:space="preserve">For instance, </w:t>
      </w:r>
      <w:r w:rsidR="00734CE8">
        <w:rPr>
          <w:rFonts w:ascii="Times New Roman" w:hAnsi="Times New Roman" w:cs="Times New Roman"/>
          <w:sz w:val="24"/>
          <w:szCs w:val="24"/>
        </w:rPr>
        <w:t xml:space="preserve">in 2022, </w:t>
      </w:r>
      <w:r>
        <w:rPr>
          <w:rFonts w:ascii="Times New Roman" w:hAnsi="Times New Roman" w:cs="Times New Roman"/>
          <w:sz w:val="24"/>
          <w:szCs w:val="24"/>
        </w:rPr>
        <w:t xml:space="preserve">the </w:t>
      </w:r>
      <w:r w:rsidR="00734CE8">
        <w:rPr>
          <w:rFonts w:ascii="Times New Roman" w:hAnsi="Times New Roman" w:cs="Times New Roman"/>
          <w:sz w:val="24"/>
          <w:szCs w:val="24"/>
        </w:rPr>
        <w:t>US imposed visa bans on some Hungarian officials accused of undermining democracy, and the Biden administration publicly criticized judicial interference in both Poland and Hungary</w:t>
      </w:r>
      <w:r w:rsidR="00926A2B">
        <w:rPr>
          <w:rFonts w:ascii="Times New Roman" w:hAnsi="Times New Roman" w:cs="Times New Roman"/>
          <w:sz w:val="24"/>
          <w:szCs w:val="24"/>
        </w:rPr>
        <w:t xml:space="preserve">. </w:t>
      </w:r>
      <w:r w:rsidR="0020731D">
        <w:rPr>
          <w:rFonts w:ascii="Times New Roman" w:hAnsi="Times New Roman" w:cs="Times New Roman"/>
          <w:sz w:val="24"/>
          <w:szCs w:val="24"/>
        </w:rPr>
        <w:t xml:space="preserve">The </w:t>
      </w:r>
      <w:r w:rsidR="00734CE8">
        <w:rPr>
          <w:rFonts w:ascii="Times New Roman" w:hAnsi="Times New Roman" w:cs="Times New Roman"/>
          <w:sz w:val="24"/>
          <w:szCs w:val="24"/>
        </w:rPr>
        <w:t xml:space="preserve">US </w:t>
      </w:r>
      <w:r>
        <w:rPr>
          <w:rFonts w:ascii="Times New Roman" w:hAnsi="Times New Roman" w:cs="Times New Roman"/>
          <w:sz w:val="24"/>
          <w:szCs w:val="24"/>
        </w:rPr>
        <w:t>repeatedly criticized democratic backsliding in Poland and Hungary</w:t>
      </w:r>
      <w:r w:rsidR="00734CE8">
        <w:rPr>
          <w:rFonts w:ascii="Times New Roman" w:hAnsi="Times New Roman" w:cs="Times New Roman"/>
          <w:sz w:val="24"/>
          <w:szCs w:val="24"/>
        </w:rPr>
        <w:t xml:space="preserve">, </w:t>
      </w:r>
      <w:r>
        <w:rPr>
          <w:rFonts w:ascii="Times New Roman" w:hAnsi="Times New Roman" w:cs="Times New Roman"/>
          <w:sz w:val="24"/>
          <w:szCs w:val="24"/>
        </w:rPr>
        <w:t>with diplomatic pressure being applied.</w:t>
      </w:r>
      <w:r w:rsidR="0020731D">
        <w:rPr>
          <w:rFonts w:ascii="Times New Roman" w:hAnsi="Times New Roman" w:cs="Times New Roman"/>
          <w:sz w:val="24"/>
          <w:szCs w:val="24"/>
        </w:rPr>
        <w:t xml:space="preserve"> Likewise, the Organization for Security and Co-Operation in Europe (OSCE) has raised concerns about judicial independence in both those countries, issuing reports and recommendations to mitigate the situation.</w:t>
      </w:r>
    </w:p>
    <w:p w14:paraId="20E56302" w14:textId="1B5A3D7F" w:rsidR="00335044" w:rsidRDefault="00335044" w:rsidP="001D12B5">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Council of Europe, the Venice Commission, and the ECtHR have voiced concerns about </w:t>
      </w:r>
      <w:r w:rsidR="00062F6C">
        <w:rPr>
          <w:rFonts w:ascii="Times New Roman" w:hAnsi="Times New Roman" w:cs="Times New Roman"/>
          <w:sz w:val="24"/>
          <w:szCs w:val="24"/>
        </w:rPr>
        <w:t>Rule of Law</w:t>
      </w:r>
      <w:r>
        <w:rPr>
          <w:rFonts w:ascii="Times New Roman" w:hAnsi="Times New Roman" w:cs="Times New Roman"/>
          <w:sz w:val="24"/>
          <w:szCs w:val="24"/>
        </w:rPr>
        <w:t xml:space="preserve"> violations and have taken steps to hold </w:t>
      </w:r>
      <w:r w:rsidR="00062F6C">
        <w:rPr>
          <w:rFonts w:ascii="Times New Roman" w:hAnsi="Times New Roman" w:cs="Times New Roman"/>
          <w:sz w:val="24"/>
          <w:szCs w:val="24"/>
        </w:rPr>
        <w:t>Member States</w:t>
      </w:r>
      <w:r>
        <w:rPr>
          <w:rFonts w:ascii="Times New Roman" w:hAnsi="Times New Roman" w:cs="Times New Roman"/>
          <w:sz w:val="24"/>
          <w:szCs w:val="24"/>
        </w:rPr>
        <w:t xml:space="preserve"> accountable. However, the enforcement of their decisions remains limited.</w:t>
      </w:r>
    </w:p>
    <w:p w14:paraId="68743B49" w14:textId="1B2755E3" w:rsidR="00F81FDB" w:rsidRDefault="00F81FDB" w:rsidP="001D12B5">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Venice Commission has issued multiple opinions condemning judicial reforms, </w:t>
      </w:r>
      <w:r w:rsidR="00734CE8">
        <w:rPr>
          <w:rFonts w:ascii="Times New Roman" w:hAnsi="Times New Roman" w:cs="Times New Roman"/>
          <w:sz w:val="24"/>
          <w:szCs w:val="24"/>
        </w:rPr>
        <w:t>strengthening the EU’s legal arguments</w:t>
      </w:r>
      <w:r w:rsidR="00C252E8">
        <w:rPr>
          <w:rFonts w:ascii="Times New Roman" w:hAnsi="Times New Roman" w:cs="Times New Roman"/>
          <w:sz w:val="24"/>
          <w:szCs w:val="24"/>
        </w:rPr>
        <w:t>,</w:t>
      </w:r>
      <w:r w:rsidR="00734CE8">
        <w:rPr>
          <w:rFonts w:ascii="Times New Roman" w:hAnsi="Times New Roman" w:cs="Times New Roman"/>
          <w:sz w:val="24"/>
          <w:szCs w:val="24"/>
        </w:rPr>
        <w:t xml:space="preserve"> and </w:t>
      </w:r>
      <w:r>
        <w:rPr>
          <w:rFonts w:ascii="Times New Roman" w:hAnsi="Times New Roman" w:cs="Times New Roman"/>
          <w:sz w:val="24"/>
          <w:szCs w:val="24"/>
        </w:rPr>
        <w:t>reinforcing EU and ECHR rulings.</w:t>
      </w:r>
      <w:r w:rsidR="00BD3DCB">
        <w:rPr>
          <w:rFonts w:ascii="Times New Roman" w:hAnsi="Times New Roman" w:cs="Times New Roman"/>
          <w:sz w:val="24"/>
          <w:szCs w:val="24"/>
        </w:rPr>
        <w:t xml:space="preserve"> This advisory body provides expert legal opinions on constitutional matters, including judicial independence and </w:t>
      </w:r>
      <w:r w:rsidR="00062F6C">
        <w:rPr>
          <w:rFonts w:ascii="Times New Roman" w:hAnsi="Times New Roman" w:cs="Times New Roman"/>
          <w:sz w:val="24"/>
          <w:szCs w:val="24"/>
        </w:rPr>
        <w:t>Rule of Law</w:t>
      </w:r>
      <w:r w:rsidR="00BD3DCB">
        <w:rPr>
          <w:rFonts w:ascii="Times New Roman" w:hAnsi="Times New Roman" w:cs="Times New Roman"/>
          <w:sz w:val="24"/>
          <w:szCs w:val="24"/>
        </w:rPr>
        <w:t xml:space="preserve"> issues. </w:t>
      </w:r>
      <w:r w:rsidR="0020731D">
        <w:rPr>
          <w:rFonts w:ascii="Times New Roman" w:hAnsi="Times New Roman" w:cs="Times New Roman"/>
          <w:sz w:val="24"/>
          <w:szCs w:val="24"/>
        </w:rPr>
        <w:t xml:space="preserve">Poland and Hungary have been subject to reviews and critiques from the Venice Commission, which have drawn international attention to the deterioration of the </w:t>
      </w:r>
      <w:r w:rsidR="00062F6C">
        <w:rPr>
          <w:rFonts w:ascii="Times New Roman" w:hAnsi="Times New Roman" w:cs="Times New Roman"/>
          <w:sz w:val="24"/>
          <w:szCs w:val="24"/>
        </w:rPr>
        <w:t>Rule of Law</w:t>
      </w:r>
      <w:r w:rsidR="0020731D">
        <w:rPr>
          <w:rFonts w:ascii="Times New Roman" w:hAnsi="Times New Roman" w:cs="Times New Roman"/>
          <w:sz w:val="24"/>
          <w:szCs w:val="24"/>
        </w:rPr>
        <w:t>.</w:t>
      </w:r>
    </w:p>
    <w:p w14:paraId="0ADA963C" w14:textId="339FE060" w:rsidR="00FA6EF8" w:rsidRDefault="00BD3DCB"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FA6EF8" w:rsidRPr="00BD3DCB">
        <w:rPr>
          <w:rFonts w:ascii="Times New Roman" w:hAnsi="Times New Roman" w:cs="Times New Roman"/>
          <w:sz w:val="24"/>
          <w:szCs w:val="24"/>
        </w:rPr>
        <w:t xml:space="preserve">he ECtHR </w:t>
      </w:r>
      <w:r w:rsidRPr="00BD3DCB">
        <w:rPr>
          <w:rFonts w:ascii="Times New Roman" w:hAnsi="Times New Roman" w:cs="Times New Roman"/>
          <w:sz w:val="24"/>
          <w:szCs w:val="24"/>
        </w:rPr>
        <w:t xml:space="preserve">also recognized </w:t>
      </w:r>
      <w:r>
        <w:rPr>
          <w:rFonts w:ascii="Times New Roman" w:hAnsi="Times New Roman" w:cs="Times New Roman"/>
          <w:sz w:val="24"/>
          <w:szCs w:val="24"/>
        </w:rPr>
        <w:t>that judicial independence was in danger in Hungary and Poland. Hungary dismissed its Supreme Court president early due to his criticism of judicial reforms. As seen before, the ECtHR ruled this violated judicial independence (Baka v. Hungary, 2016). And it also ruled against judicial reforms that allowed political interference in judicial appointments and that Poland’s Disciplinary Chamber was unlawfully established, violating the right to a fair trial (Reczkowicz v. Poland, 2021).</w:t>
      </w:r>
    </w:p>
    <w:p w14:paraId="5192DDEE" w14:textId="7EAB2C24" w:rsidR="00476D98" w:rsidRPr="004E2E14" w:rsidRDefault="00476D98" w:rsidP="001D12B5">
      <w:pPr>
        <w:pStyle w:val="Prrafodelista"/>
        <w:spacing w:after="20" w:line="240" w:lineRule="auto"/>
        <w:ind w:left="0"/>
        <w:jc w:val="both"/>
        <w:rPr>
          <w:rFonts w:ascii="Times New Roman" w:hAnsi="Times New Roman" w:cs="Times New Roman"/>
          <w:sz w:val="24"/>
          <w:szCs w:val="24"/>
        </w:rPr>
      </w:pPr>
    </w:p>
    <w:p w14:paraId="0CE287F9" w14:textId="78112C8E" w:rsidR="00476D98" w:rsidRPr="00425FC8" w:rsidRDefault="00476D98" w:rsidP="001D12B5">
      <w:pPr>
        <w:pStyle w:val="Prrafodelista"/>
        <w:numPr>
          <w:ilvl w:val="0"/>
          <w:numId w:val="22"/>
        </w:numPr>
        <w:spacing w:line="240" w:lineRule="auto"/>
        <w:ind w:left="0" w:firstLine="0"/>
        <w:jc w:val="both"/>
        <w:rPr>
          <w:rFonts w:ascii="Times New Roman" w:hAnsi="Times New Roman" w:cs="Times New Roman"/>
          <w:b/>
          <w:bCs/>
          <w:sz w:val="24"/>
          <w:szCs w:val="24"/>
        </w:rPr>
      </w:pPr>
      <w:r w:rsidRPr="00425FC8">
        <w:rPr>
          <w:rFonts w:ascii="Times New Roman" w:hAnsi="Times New Roman" w:cs="Times New Roman"/>
          <w:b/>
          <w:bCs/>
          <w:sz w:val="24"/>
          <w:szCs w:val="24"/>
        </w:rPr>
        <w:t>Closing Remarks</w:t>
      </w:r>
    </w:p>
    <w:p w14:paraId="6243AA59" w14:textId="47D746A1" w:rsidR="00E0146E" w:rsidRPr="004E2E14" w:rsidRDefault="00335044"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backsliding of the </w:t>
      </w:r>
      <w:r w:rsidR="00062F6C">
        <w:rPr>
          <w:rFonts w:ascii="Times New Roman" w:hAnsi="Times New Roman" w:cs="Times New Roman"/>
          <w:sz w:val="24"/>
          <w:szCs w:val="24"/>
        </w:rPr>
        <w:t>Rule of Law</w:t>
      </w:r>
      <w:r>
        <w:rPr>
          <w:rFonts w:ascii="Times New Roman" w:hAnsi="Times New Roman" w:cs="Times New Roman"/>
          <w:sz w:val="24"/>
          <w:szCs w:val="24"/>
        </w:rPr>
        <w:t xml:space="preserve"> and judicial independence in Europe represents a significant challenge to the region’s democratic stability. </w:t>
      </w:r>
      <w:r w:rsidR="0091631C" w:rsidRPr="004E2E14">
        <w:rPr>
          <w:rFonts w:ascii="Times New Roman" w:hAnsi="Times New Roman" w:cs="Times New Roman"/>
          <w:sz w:val="24"/>
          <w:szCs w:val="24"/>
        </w:rPr>
        <w:t>In what concerns Central and Eastern Europe, s</w:t>
      </w:r>
      <w:r w:rsidR="001B77F9" w:rsidRPr="004E2E14">
        <w:rPr>
          <w:rFonts w:ascii="Times New Roman" w:hAnsi="Times New Roman" w:cs="Times New Roman"/>
          <w:sz w:val="24"/>
          <w:szCs w:val="24"/>
        </w:rPr>
        <w:t xml:space="preserve">ome </w:t>
      </w:r>
      <w:r w:rsidR="00062F6C">
        <w:rPr>
          <w:rFonts w:ascii="Times New Roman" w:hAnsi="Times New Roman" w:cs="Times New Roman"/>
          <w:sz w:val="24"/>
          <w:szCs w:val="24"/>
        </w:rPr>
        <w:t>Member States</w:t>
      </w:r>
      <w:r w:rsidR="001B77F9" w:rsidRPr="004E2E14">
        <w:rPr>
          <w:rFonts w:ascii="Times New Roman" w:hAnsi="Times New Roman" w:cs="Times New Roman"/>
          <w:sz w:val="24"/>
          <w:szCs w:val="24"/>
        </w:rPr>
        <w:t xml:space="preserve"> have already made efforts to strengthen the independence of judicial councils. It is the case of Croatia</w:t>
      </w:r>
      <w:r w:rsidR="005D069C" w:rsidRPr="004E2E14">
        <w:rPr>
          <w:rFonts w:ascii="Times New Roman" w:hAnsi="Times New Roman" w:cs="Times New Roman"/>
          <w:sz w:val="24"/>
          <w:szCs w:val="24"/>
        </w:rPr>
        <w:t>, where the process for appointing the Supreme Court President was concluded and the procedure governing the selection procedure was amended to avoid a potential future deadlock</w:t>
      </w:r>
      <w:r w:rsidR="00812B63" w:rsidRPr="004E2E14">
        <w:rPr>
          <w:rStyle w:val="Refdenotaalpie"/>
          <w:rFonts w:ascii="Times New Roman" w:hAnsi="Times New Roman" w:cs="Times New Roman"/>
          <w:sz w:val="24"/>
          <w:szCs w:val="24"/>
        </w:rPr>
        <w:footnoteReference w:id="116"/>
      </w:r>
      <w:r w:rsidR="005D069C" w:rsidRPr="004E2E14">
        <w:rPr>
          <w:rFonts w:ascii="Times New Roman" w:hAnsi="Times New Roman" w:cs="Times New Roman"/>
          <w:sz w:val="24"/>
          <w:szCs w:val="24"/>
        </w:rPr>
        <w:t>;</w:t>
      </w:r>
      <w:r w:rsidR="00E0146E" w:rsidRPr="004E2E14">
        <w:rPr>
          <w:rFonts w:ascii="Times New Roman" w:hAnsi="Times New Roman" w:cs="Times New Roman"/>
          <w:sz w:val="24"/>
          <w:szCs w:val="24"/>
        </w:rPr>
        <w:t xml:space="preserve"> in </w:t>
      </w:r>
      <w:r w:rsidR="005939A6">
        <w:rPr>
          <w:rFonts w:ascii="Times New Roman" w:hAnsi="Times New Roman" w:cs="Times New Roman"/>
          <w:sz w:val="24"/>
          <w:szCs w:val="24"/>
        </w:rPr>
        <w:t xml:space="preserve">the </w:t>
      </w:r>
      <w:r w:rsidR="00E0146E" w:rsidRPr="004E2E14">
        <w:rPr>
          <w:rFonts w:ascii="Times New Roman" w:hAnsi="Times New Roman" w:cs="Times New Roman"/>
          <w:sz w:val="24"/>
          <w:szCs w:val="24"/>
        </w:rPr>
        <w:t>Czech</w:t>
      </w:r>
      <w:r w:rsidR="00D915AD" w:rsidRPr="004E2E14">
        <w:rPr>
          <w:rFonts w:ascii="Times New Roman" w:hAnsi="Times New Roman" w:cs="Times New Roman"/>
          <w:sz w:val="24"/>
          <w:szCs w:val="24"/>
        </w:rPr>
        <w:t xml:space="preserve"> Republic</w:t>
      </w:r>
      <w:r w:rsidR="00E0146E" w:rsidRPr="004E2E14">
        <w:rPr>
          <w:rFonts w:ascii="Times New Roman" w:hAnsi="Times New Roman" w:cs="Times New Roman"/>
          <w:sz w:val="24"/>
          <w:szCs w:val="24"/>
        </w:rPr>
        <w:t>, amended legislation aims to set up a transparent and uniform system of recruitment and selection of judges and court presidents</w:t>
      </w:r>
      <w:r w:rsidR="00AD5163" w:rsidRPr="004E2E14">
        <w:rPr>
          <w:rFonts w:ascii="Times New Roman" w:hAnsi="Times New Roman" w:cs="Times New Roman"/>
          <w:sz w:val="24"/>
          <w:szCs w:val="24"/>
        </w:rPr>
        <w:t>.</w:t>
      </w:r>
      <w:r w:rsidR="00E3572A" w:rsidRPr="004E2E14">
        <w:rPr>
          <w:rStyle w:val="Refdenotaalpie"/>
          <w:rFonts w:ascii="Times New Roman" w:hAnsi="Times New Roman" w:cs="Times New Roman"/>
          <w:sz w:val="24"/>
          <w:szCs w:val="24"/>
        </w:rPr>
        <w:footnoteReference w:id="117"/>
      </w:r>
      <w:r w:rsidR="001B77F9" w:rsidRPr="004E2E14">
        <w:rPr>
          <w:rFonts w:ascii="Times New Roman" w:hAnsi="Times New Roman" w:cs="Times New Roman"/>
          <w:sz w:val="24"/>
          <w:szCs w:val="24"/>
        </w:rPr>
        <w:t xml:space="preserve"> </w:t>
      </w:r>
    </w:p>
    <w:p w14:paraId="4DABA8D2" w14:textId="3BED94C0" w:rsidR="005F31AD" w:rsidRDefault="00A03980"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However, the situation remains worrying in relation to other states such as </w:t>
      </w:r>
      <w:r w:rsidR="003716CD" w:rsidRPr="004E2E14">
        <w:rPr>
          <w:rFonts w:ascii="Times New Roman" w:hAnsi="Times New Roman" w:cs="Times New Roman"/>
          <w:sz w:val="24"/>
          <w:szCs w:val="24"/>
        </w:rPr>
        <w:t>Slovenia</w:t>
      </w:r>
      <w:r w:rsidR="003716CD" w:rsidRPr="004E2E14">
        <w:rPr>
          <w:rStyle w:val="Refdenotaalpie"/>
          <w:rFonts w:ascii="Times New Roman" w:hAnsi="Times New Roman" w:cs="Times New Roman"/>
          <w:sz w:val="24"/>
          <w:szCs w:val="24"/>
        </w:rPr>
        <w:footnoteReference w:id="118"/>
      </w:r>
      <w:r w:rsidR="003716CD" w:rsidRPr="004E2E14">
        <w:rPr>
          <w:rFonts w:ascii="Times New Roman" w:hAnsi="Times New Roman" w:cs="Times New Roman"/>
          <w:sz w:val="24"/>
          <w:szCs w:val="24"/>
        </w:rPr>
        <w:t xml:space="preserve">, </w:t>
      </w:r>
      <w:r w:rsidR="006B10A6" w:rsidRPr="004E2E14">
        <w:rPr>
          <w:rFonts w:ascii="Times New Roman" w:hAnsi="Times New Roman" w:cs="Times New Roman"/>
          <w:sz w:val="24"/>
          <w:szCs w:val="24"/>
        </w:rPr>
        <w:t>Romania</w:t>
      </w:r>
      <w:r w:rsidR="006B10A6" w:rsidRPr="004E2E14">
        <w:rPr>
          <w:rStyle w:val="Refdenotaalpie"/>
          <w:rFonts w:ascii="Times New Roman" w:hAnsi="Times New Roman" w:cs="Times New Roman"/>
          <w:sz w:val="24"/>
          <w:szCs w:val="24"/>
        </w:rPr>
        <w:footnoteReference w:id="119"/>
      </w:r>
      <w:r w:rsidR="00EF0428" w:rsidRPr="004E2E14">
        <w:rPr>
          <w:rFonts w:ascii="Times New Roman" w:hAnsi="Times New Roman" w:cs="Times New Roman"/>
          <w:sz w:val="24"/>
          <w:szCs w:val="24"/>
        </w:rPr>
        <w:t xml:space="preserve"> or</w:t>
      </w:r>
      <w:r w:rsidR="006B10A6" w:rsidRPr="004E2E14">
        <w:rPr>
          <w:rFonts w:ascii="Times New Roman" w:hAnsi="Times New Roman" w:cs="Times New Roman"/>
          <w:sz w:val="24"/>
          <w:szCs w:val="24"/>
        </w:rPr>
        <w:t xml:space="preserve"> </w:t>
      </w:r>
      <w:r w:rsidRPr="004E2E14">
        <w:rPr>
          <w:rFonts w:ascii="Times New Roman" w:hAnsi="Times New Roman" w:cs="Times New Roman"/>
          <w:sz w:val="24"/>
          <w:szCs w:val="24"/>
        </w:rPr>
        <w:t>Bulgaria where there are increasing concerns related to the functioning of the Supreme Judicial Council and a need to address its composition</w:t>
      </w:r>
      <w:r w:rsidR="00276868" w:rsidRPr="004E2E14">
        <w:rPr>
          <w:rFonts w:ascii="Times New Roman" w:hAnsi="Times New Roman" w:cs="Times New Roman"/>
          <w:sz w:val="24"/>
          <w:szCs w:val="24"/>
        </w:rPr>
        <w:t xml:space="preserve"> and to the absence of regular competition for judicial appointments to higher positions, combined with an extensive use of secondments</w:t>
      </w:r>
      <w:r w:rsidR="00481B76" w:rsidRPr="004E2E14">
        <w:rPr>
          <w:rStyle w:val="Refdenotaalpie"/>
          <w:rFonts w:ascii="Times New Roman" w:hAnsi="Times New Roman" w:cs="Times New Roman"/>
          <w:sz w:val="24"/>
          <w:szCs w:val="24"/>
        </w:rPr>
        <w:footnoteReference w:id="120"/>
      </w:r>
      <w:r w:rsidR="00AD5163" w:rsidRPr="004E2E14">
        <w:rPr>
          <w:rFonts w:ascii="Times New Roman" w:hAnsi="Times New Roman" w:cs="Times New Roman"/>
          <w:sz w:val="24"/>
          <w:szCs w:val="24"/>
        </w:rPr>
        <w:t xml:space="preserve">; </w:t>
      </w:r>
      <w:r w:rsidRPr="004E2E14">
        <w:rPr>
          <w:rFonts w:ascii="Times New Roman" w:hAnsi="Times New Roman" w:cs="Times New Roman"/>
          <w:sz w:val="24"/>
          <w:szCs w:val="24"/>
        </w:rPr>
        <w:t>in Slovakia, the Judicial Council has taken up new tasks following the Constitutional refor</w:t>
      </w:r>
      <w:r w:rsidR="0091631C" w:rsidRPr="004E2E14">
        <w:rPr>
          <w:rFonts w:ascii="Times New Roman" w:hAnsi="Times New Roman" w:cs="Times New Roman"/>
          <w:sz w:val="24"/>
          <w:szCs w:val="24"/>
        </w:rPr>
        <w:t>m</w:t>
      </w:r>
      <w:r w:rsidRPr="004E2E14">
        <w:rPr>
          <w:rFonts w:ascii="Times New Roman" w:hAnsi="Times New Roman" w:cs="Times New Roman"/>
          <w:sz w:val="24"/>
          <w:szCs w:val="24"/>
        </w:rPr>
        <w:t>, while concerns remain over the regime for dismissal of its members</w:t>
      </w:r>
      <w:r w:rsidR="001055AC" w:rsidRPr="004E2E14">
        <w:rPr>
          <w:rFonts w:ascii="Times New Roman" w:hAnsi="Times New Roman" w:cs="Times New Roman"/>
          <w:sz w:val="24"/>
          <w:szCs w:val="24"/>
        </w:rPr>
        <w:t>; in Lithuania, the appointment of the President of the Supreme Court is pending since September 2019, as the law does not foresee deadlines for the respective selection procedure and confers discretion to the President of the Republic as to the timing of selection procedures for the Supreme Court; in Latvia, the rejection by Parliament of a candidate to the position of Supreme Court judge was marked by controversies regarding possible undue political influence</w:t>
      </w:r>
      <w:r w:rsidR="001668C2">
        <w:rPr>
          <w:rFonts w:ascii="Times New Roman" w:hAnsi="Times New Roman" w:cs="Times New Roman"/>
          <w:sz w:val="24"/>
          <w:szCs w:val="24"/>
        </w:rPr>
        <w:t>.</w:t>
      </w:r>
    </w:p>
    <w:p w14:paraId="5E5647D7" w14:textId="74BB7654" w:rsidR="00D63CA6" w:rsidRDefault="00D63CA6"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The importance of strong governments in Eastern Europe has come to the forefront with the war in Ukraine. As countries that border Ukraine, the actions and rhetoric taken by the governments of Poland and Hungary are permanently under scrutiny and the absence of strong opposition from the EU leaves it in a weak position.</w:t>
      </w:r>
      <w:r w:rsidRPr="004E2E14">
        <w:rPr>
          <w:rStyle w:val="Refdenotaalpie"/>
          <w:rFonts w:ascii="Times New Roman" w:hAnsi="Times New Roman" w:cs="Times New Roman"/>
          <w:sz w:val="24"/>
          <w:szCs w:val="24"/>
        </w:rPr>
        <w:footnoteReference w:id="121"/>
      </w:r>
      <w:r w:rsidRPr="004E2E14">
        <w:rPr>
          <w:rFonts w:ascii="Times New Roman" w:hAnsi="Times New Roman" w:cs="Times New Roman"/>
          <w:sz w:val="24"/>
          <w:szCs w:val="24"/>
        </w:rPr>
        <w:t xml:space="preserve"> Similarly,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in general have remained silent on the crisis of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in the European Union. But, as PECH and SCHEPPELE warn, </w:t>
      </w:r>
      <w:r w:rsidR="00062F6C">
        <w:rPr>
          <w:rFonts w:ascii="Times New Roman" w:hAnsi="Times New Roman" w:cs="Times New Roman"/>
          <w:sz w:val="24"/>
          <w:szCs w:val="24"/>
        </w:rPr>
        <w:t>Member States</w:t>
      </w:r>
      <w:r w:rsidRPr="004E2E14">
        <w:rPr>
          <w:rFonts w:ascii="Times New Roman" w:hAnsi="Times New Roman" w:cs="Times New Roman"/>
          <w:sz w:val="24"/>
          <w:szCs w:val="24"/>
        </w:rPr>
        <w:t xml:space="preserve"> need to </w:t>
      </w:r>
      <w:r w:rsidR="005939A6">
        <w:rPr>
          <w:rFonts w:ascii="Times New Roman" w:hAnsi="Times New Roman" w:cs="Times New Roman"/>
          <w:sz w:val="24"/>
          <w:szCs w:val="24"/>
        </w:rPr>
        <w:t>wake</w:t>
      </w:r>
      <w:r w:rsidRPr="004E2E14">
        <w:rPr>
          <w:rFonts w:ascii="Times New Roman" w:hAnsi="Times New Roman" w:cs="Times New Roman"/>
          <w:sz w:val="24"/>
          <w:szCs w:val="24"/>
        </w:rPr>
        <w:t xml:space="preserve"> to the fact that the actions of Hungary’s Orbán and Poland’s Kaczynski provide a model that can easily spread to other EU countries led by populists with autocratic ambitions, representing </w:t>
      </w:r>
      <w:r w:rsidRPr="004E2E14">
        <w:rPr>
          <w:rFonts w:ascii="Times New Roman" w:hAnsi="Times New Roman" w:cs="Times New Roman"/>
          <w:sz w:val="24"/>
          <w:szCs w:val="24"/>
        </w:rPr>
        <w:lastRenderedPageBreak/>
        <w:t>serious threats to liberal constitutional democracy</w:t>
      </w:r>
      <w:r w:rsidRPr="004E2E14">
        <w:rPr>
          <w:rStyle w:val="Refdenotaalpie"/>
          <w:rFonts w:ascii="Times New Roman" w:hAnsi="Times New Roman" w:cs="Times New Roman"/>
          <w:sz w:val="24"/>
          <w:szCs w:val="24"/>
        </w:rPr>
        <w:footnoteReference w:id="122"/>
      </w:r>
      <w:r w:rsidRPr="004E2E14">
        <w:rPr>
          <w:rFonts w:ascii="Times New Roman" w:hAnsi="Times New Roman" w:cs="Times New Roman"/>
          <w:sz w:val="24"/>
          <w:szCs w:val="24"/>
        </w:rPr>
        <w:t>.</w:t>
      </w:r>
      <w:r>
        <w:rPr>
          <w:rFonts w:ascii="Times New Roman" w:hAnsi="Times New Roman" w:cs="Times New Roman"/>
          <w:sz w:val="24"/>
          <w:szCs w:val="24"/>
        </w:rPr>
        <w:t xml:space="preserve"> «Unfortunately, populism is on the rise, and it will be a challenge for democracies in the near future. It will also </w:t>
      </w:r>
      <w:r w:rsidR="009E45F1">
        <w:rPr>
          <w:rFonts w:ascii="Times New Roman" w:hAnsi="Times New Roman" w:cs="Times New Roman"/>
          <w:sz w:val="24"/>
          <w:szCs w:val="24"/>
        </w:rPr>
        <w:t>assess</w:t>
      </w:r>
      <w:r>
        <w:rPr>
          <w:rFonts w:ascii="Times New Roman" w:hAnsi="Times New Roman" w:cs="Times New Roman"/>
          <w:sz w:val="24"/>
          <w:szCs w:val="24"/>
        </w:rPr>
        <w:t xml:space="preserve"> the strength of the system of </w:t>
      </w:r>
      <w:r w:rsidR="005939A6">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Pr>
          <w:rFonts w:ascii="Times New Roman" w:hAnsi="Times New Roman" w:cs="Times New Roman"/>
          <w:sz w:val="24"/>
          <w:szCs w:val="24"/>
        </w:rPr>
        <w:t xml:space="preserve">, including the robustness of the EU </w:t>
      </w:r>
      <w:r w:rsidR="00062F6C">
        <w:rPr>
          <w:rFonts w:ascii="Times New Roman" w:hAnsi="Times New Roman" w:cs="Times New Roman"/>
          <w:sz w:val="24"/>
          <w:szCs w:val="24"/>
        </w:rPr>
        <w:t>Member States</w:t>
      </w:r>
      <w:r>
        <w:rPr>
          <w:rFonts w:ascii="Times New Roman" w:hAnsi="Times New Roman" w:cs="Times New Roman"/>
          <w:sz w:val="24"/>
          <w:szCs w:val="24"/>
        </w:rPr>
        <w:t>’ judiciaries. However, populism is not the exclusive prerogative of newcomers».</w:t>
      </w:r>
      <w:r>
        <w:rPr>
          <w:rStyle w:val="Refdenotaalpie"/>
          <w:rFonts w:ascii="Times New Roman" w:hAnsi="Times New Roman" w:cs="Times New Roman"/>
          <w:sz w:val="24"/>
          <w:szCs w:val="24"/>
        </w:rPr>
        <w:footnoteReference w:id="123"/>
      </w:r>
      <w:r>
        <w:rPr>
          <w:rFonts w:ascii="Times New Roman" w:hAnsi="Times New Roman" w:cs="Times New Roman"/>
          <w:sz w:val="24"/>
          <w:szCs w:val="24"/>
        </w:rPr>
        <w:t xml:space="preserve"> It has </w:t>
      </w:r>
      <w:r w:rsidR="00C252E8">
        <w:rPr>
          <w:rFonts w:ascii="Times New Roman" w:hAnsi="Times New Roman" w:cs="Times New Roman"/>
          <w:sz w:val="24"/>
          <w:szCs w:val="24"/>
        </w:rPr>
        <w:t xml:space="preserve">also </w:t>
      </w:r>
      <w:r>
        <w:rPr>
          <w:rFonts w:ascii="Times New Roman" w:hAnsi="Times New Roman" w:cs="Times New Roman"/>
          <w:sz w:val="24"/>
          <w:szCs w:val="24"/>
        </w:rPr>
        <w:t>been challenged in old democracies such as France, Italy</w:t>
      </w:r>
      <w:r w:rsidR="005939A6">
        <w:rPr>
          <w:rFonts w:ascii="Times New Roman" w:hAnsi="Times New Roman" w:cs="Times New Roman"/>
          <w:sz w:val="24"/>
          <w:szCs w:val="24"/>
        </w:rPr>
        <w:t>,</w:t>
      </w:r>
      <w:r>
        <w:rPr>
          <w:rFonts w:ascii="Times New Roman" w:hAnsi="Times New Roman" w:cs="Times New Roman"/>
          <w:sz w:val="24"/>
          <w:szCs w:val="24"/>
        </w:rPr>
        <w:t xml:space="preserve"> and the Netherlands, among others.</w:t>
      </w:r>
    </w:p>
    <w:p w14:paraId="71132874" w14:textId="76D564AD" w:rsidR="001668C2" w:rsidRDefault="001668C2" w:rsidP="001D12B5">
      <w:pPr>
        <w:spacing w:after="0" w:line="240" w:lineRule="auto"/>
        <w:jc w:val="both"/>
        <w:rPr>
          <w:rFonts w:ascii="Times New Roman" w:hAnsi="Times New Roman" w:cs="Times New Roman"/>
          <w:sz w:val="24"/>
          <w:szCs w:val="24"/>
        </w:rPr>
      </w:pPr>
      <w:r w:rsidRPr="001668C2">
        <w:rPr>
          <w:rFonts w:ascii="Times New Roman" w:hAnsi="Times New Roman" w:cs="Times New Roman"/>
          <w:sz w:val="24"/>
          <w:szCs w:val="24"/>
        </w:rPr>
        <w:t xml:space="preserve">Since 2023, several </w:t>
      </w:r>
      <w:r w:rsidR="00062F6C">
        <w:rPr>
          <w:rFonts w:ascii="Times New Roman" w:hAnsi="Times New Roman" w:cs="Times New Roman"/>
          <w:sz w:val="24"/>
          <w:szCs w:val="24"/>
        </w:rPr>
        <w:t>Member States</w:t>
      </w:r>
      <w:r w:rsidRPr="001668C2">
        <w:rPr>
          <w:rFonts w:ascii="Times New Roman" w:hAnsi="Times New Roman" w:cs="Times New Roman"/>
          <w:sz w:val="24"/>
          <w:szCs w:val="24"/>
        </w:rPr>
        <w:t xml:space="preserve"> have </w:t>
      </w:r>
      <w:r w:rsidR="00D63CA6" w:rsidRPr="001668C2">
        <w:rPr>
          <w:rFonts w:ascii="Times New Roman" w:hAnsi="Times New Roman" w:cs="Times New Roman"/>
          <w:sz w:val="24"/>
          <w:szCs w:val="24"/>
        </w:rPr>
        <w:t>endeavored</w:t>
      </w:r>
      <w:r w:rsidRPr="001668C2">
        <w:rPr>
          <w:rFonts w:ascii="Times New Roman" w:hAnsi="Times New Roman" w:cs="Times New Roman"/>
          <w:sz w:val="24"/>
          <w:szCs w:val="24"/>
        </w:rPr>
        <w:t xml:space="preserve"> to strengthen judicial independence. Hungary was one of them, </w:t>
      </w:r>
      <w:r w:rsidR="009E45F1" w:rsidRPr="001668C2">
        <w:rPr>
          <w:rFonts w:ascii="Times New Roman" w:hAnsi="Times New Roman" w:cs="Times New Roman"/>
          <w:sz w:val="24"/>
          <w:szCs w:val="24"/>
        </w:rPr>
        <w:t>conducting</w:t>
      </w:r>
      <w:r w:rsidRPr="001668C2">
        <w:rPr>
          <w:rFonts w:ascii="Times New Roman" w:hAnsi="Times New Roman" w:cs="Times New Roman"/>
          <w:sz w:val="24"/>
          <w:szCs w:val="24"/>
        </w:rPr>
        <w:t xml:space="preserve"> a legislative reform that strengthened the competences of the National Council of the Judiciary. The same happened in Poland</w:t>
      </w:r>
      <w:r w:rsidR="00FA6EF8">
        <w:rPr>
          <w:rFonts w:ascii="Times New Roman" w:hAnsi="Times New Roman" w:cs="Times New Roman"/>
          <w:sz w:val="24"/>
          <w:szCs w:val="24"/>
        </w:rPr>
        <w:t xml:space="preserve"> under Donald Tusk's new government. </w:t>
      </w:r>
      <w:r w:rsidRPr="001668C2">
        <w:rPr>
          <w:rFonts w:ascii="Times New Roman" w:hAnsi="Times New Roman" w:cs="Times New Roman"/>
          <w:sz w:val="24"/>
          <w:szCs w:val="24"/>
        </w:rPr>
        <w:t>Countries like Spain, Estonia</w:t>
      </w:r>
      <w:r w:rsidR="005939A6">
        <w:rPr>
          <w:rFonts w:ascii="Times New Roman" w:hAnsi="Times New Roman" w:cs="Times New Roman"/>
          <w:sz w:val="24"/>
          <w:szCs w:val="24"/>
        </w:rPr>
        <w:t>,</w:t>
      </w:r>
      <w:r w:rsidRPr="001668C2">
        <w:rPr>
          <w:rFonts w:ascii="Times New Roman" w:hAnsi="Times New Roman" w:cs="Times New Roman"/>
          <w:sz w:val="24"/>
          <w:szCs w:val="24"/>
        </w:rPr>
        <w:t xml:space="preserve"> and the Netherlands are also preparing specific reforms to strengthen the structure of their Judicial Council. In other countries, such as Greece, Ireland, Germany</w:t>
      </w:r>
      <w:r w:rsidR="005939A6">
        <w:rPr>
          <w:rFonts w:ascii="Times New Roman" w:hAnsi="Times New Roman" w:cs="Times New Roman"/>
          <w:sz w:val="24"/>
          <w:szCs w:val="24"/>
        </w:rPr>
        <w:t>,</w:t>
      </w:r>
      <w:r w:rsidRPr="001668C2">
        <w:rPr>
          <w:rFonts w:ascii="Times New Roman" w:hAnsi="Times New Roman" w:cs="Times New Roman"/>
          <w:sz w:val="24"/>
          <w:szCs w:val="24"/>
        </w:rPr>
        <w:t xml:space="preserve"> or Poland, among others, efforts are being made to improve the way judges are appointed and promoted, </w:t>
      </w:r>
      <w:r w:rsidR="00BF0AB1">
        <w:rPr>
          <w:rFonts w:ascii="Times New Roman" w:hAnsi="Times New Roman" w:cs="Times New Roman"/>
          <w:sz w:val="24"/>
          <w:szCs w:val="24"/>
        </w:rPr>
        <w:t>to minimize</w:t>
      </w:r>
      <w:r w:rsidRPr="001668C2">
        <w:rPr>
          <w:rFonts w:ascii="Times New Roman" w:hAnsi="Times New Roman" w:cs="Times New Roman"/>
          <w:sz w:val="24"/>
          <w:szCs w:val="24"/>
        </w:rPr>
        <w:t xml:space="preserve"> the involvement of political power in this process.</w:t>
      </w:r>
      <w:r w:rsidR="0028589F">
        <w:rPr>
          <w:rStyle w:val="Refdenotaalpie"/>
          <w:rFonts w:ascii="Times New Roman" w:hAnsi="Times New Roman" w:cs="Times New Roman"/>
          <w:sz w:val="24"/>
          <w:szCs w:val="24"/>
        </w:rPr>
        <w:footnoteReference w:id="124"/>
      </w:r>
    </w:p>
    <w:p w14:paraId="1B538C2C" w14:textId="4F46E2AD" w:rsidR="00D63CA6" w:rsidRPr="004E2E14" w:rsidRDefault="00D63CA6" w:rsidP="001D12B5">
      <w:pPr>
        <w:spacing w:after="0" w:line="240" w:lineRule="auto"/>
        <w:jc w:val="both"/>
        <w:rPr>
          <w:rFonts w:ascii="Times New Roman" w:hAnsi="Times New Roman" w:cs="Times New Roman"/>
          <w:sz w:val="24"/>
          <w:szCs w:val="24"/>
        </w:rPr>
      </w:pPr>
      <w:r w:rsidRPr="00D63CA6">
        <w:rPr>
          <w:rFonts w:ascii="Times New Roman" w:hAnsi="Times New Roman" w:cs="Times New Roman"/>
          <w:sz w:val="24"/>
          <w:szCs w:val="24"/>
        </w:rPr>
        <w:t xml:space="preserve">On the other hand, the CJEU has established that states cannot use disciplinary proceedings to try to exert pressure and control over judges. </w:t>
      </w:r>
      <w:r w:rsidR="00BF0AB1">
        <w:rPr>
          <w:rFonts w:ascii="Times New Roman" w:hAnsi="Times New Roman" w:cs="Times New Roman"/>
          <w:sz w:val="24"/>
          <w:szCs w:val="24"/>
        </w:rPr>
        <w:t>Disciplinary</w:t>
      </w:r>
      <w:r w:rsidRPr="00D63CA6">
        <w:rPr>
          <w:rFonts w:ascii="Times New Roman" w:hAnsi="Times New Roman" w:cs="Times New Roman"/>
          <w:sz w:val="24"/>
          <w:szCs w:val="24"/>
        </w:rPr>
        <w:t xml:space="preserve"> proceedings against judges must be conducted by independent bodies that guarantee them the possibility of defen</w:t>
      </w:r>
      <w:r w:rsidR="00375579">
        <w:rPr>
          <w:rFonts w:ascii="Times New Roman" w:hAnsi="Times New Roman" w:cs="Times New Roman"/>
          <w:sz w:val="24"/>
          <w:szCs w:val="24"/>
        </w:rPr>
        <w:t>c</w:t>
      </w:r>
      <w:r w:rsidRPr="00D63CA6">
        <w:rPr>
          <w:rFonts w:ascii="Times New Roman" w:hAnsi="Times New Roman" w:cs="Times New Roman"/>
          <w:sz w:val="24"/>
          <w:szCs w:val="24"/>
        </w:rPr>
        <w:t>e and respect for the Charter of Fundamental Rights, with the possibility of appealing against the sanctions imposed. Poland has already introduced changes in this direction. This is, of course, a work in progress</w:t>
      </w:r>
      <w:r w:rsidR="00BF0AB1">
        <w:rPr>
          <w:rFonts w:ascii="Times New Roman" w:hAnsi="Times New Roman" w:cs="Times New Roman"/>
          <w:sz w:val="24"/>
          <w:szCs w:val="24"/>
        </w:rPr>
        <w:t>,</w:t>
      </w:r>
      <w:r w:rsidRPr="00D63CA6">
        <w:rPr>
          <w:rFonts w:ascii="Times New Roman" w:hAnsi="Times New Roman" w:cs="Times New Roman"/>
          <w:sz w:val="24"/>
          <w:szCs w:val="24"/>
        </w:rPr>
        <w:t xml:space="preserve"> and it is only gradually, under pressure from the European institutions, that the </w:t>
      </w:r>
      <w:r w:rsidR="00062F6C">
        <w:rPr>
          <w:rFonts w:ascii="Times New Roman" w:hAnsi="Times New Roman" w:cs="Times New Roman"/>
          <w:sz w:val="24"/>
          <w:szCs w:val="24"/>
        </w:rPr>
        <w:t>Member States</w:t>
      </w:r>
      <w:r w:rsidRPr="00D63CA6">
        <w:rPr>
          <w:rFonts w:ascii="Times New Roman" w:hAnsi="Times New Roman" w:cs="Times New Roman"/>
          <w:sz w:val="24"/>
          <w:szCs w:val="24"/>
        </w:rPr>
        <w:t xml:space="preserve"> are realizing the reforms necessary for true judicial independence that </w:t>
      </w:r>
      <w:r w:rsidR="00C32AE0" w:rsidRPr="00D63CA6">
        <w:rPr>
          <w:rFonts w:ascii="Times New Roman" w:hAnsi="Times New Roman" w:cs="Times New Roman"/>
          <w:sz w:val="24"/>
          <w:szCs w:val="24"/>
        </w:rPr>
        <w:t>contribute</w:t>
      </w:r>
      <w:r w:rsidRPr="00D63CA6">
        <w:rPr>
          <w:rFonts w:ascii="Times New Roman" w:hAnsi="Times New Roman" w:cs="Times New Roman"/>
          <w:sz w:val="24"/>
          <w:szCs w:val="24"/>
        </w:rPr>
        <w:t xml:space="preserve"> to a solid culture of the </w:t>
      </w:r>
      <w:r w:rsidR="00062F6C">
        <w:rPr>
          <w:rFonts w:ascii="Times New Roman" w:hAnsi="Times New Roman" w:cs="Times New Roman"/>
          <w:sz w:val="24"/>
          <w:szCs w:val="24"/>
        </w:rPr>
        <w:t>Rule of Law</w:t>
      </w:r>
      <w:r w:rsidRPr="00D63CA6">
        <w:rPr>
          <w:rFonts w:ascii="Times New Roman" w:hAnsi="Times New Roman" w:cs="Times New Roman"/>
          <w:sz w:val="24"/>
          <w:szCs w:val="24"/>
        </w:rPr>
        <w:t>.</w:t>
      </w:r>
    </w:p>
    <w:p w14:paraId="55E65531" w14:textId="482CCC39" w:rsidR="00EF0428" w:rsidRPr="004E2E14" w:rsidRDefault="00EF1E87"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Pr>
          <w:rFonts w:ascii="Times New Roman" w:hAnsi="Times New Roman" w:cs="Times New Roman"/>
          <w:sz w:val="24"/>
          <w:szCs w:val="24"/>
        </w:rPr>
        <w:t xml:space="preserve"> has indeed</w:t>
      </w:r>
      <w:r w:rsidR="00C81103" w:rsidRPr="004E2E14">
        <w:rPr>
          <w:rFonts w:ascii="Times New Roman" w:hAnsi="Times New Roman" w:cs="Times New Roman"/>
          <w:sz w:val="24"/>
          <w:szCs w:val="24"/>
        </w:rPr>
        <w:t xml:space="preserve"> been high on the EU agenda</w:t>
      </w:r>
      <w:r w:rsidR="00BF0AB1">
        <w:rPr>
          <w:rFonts w:ascii="Times New Roman" w:hAnsi="Times New Roman" w:cs="Times New Roman"/>
          <w:sz w:val="24"/>
          <w:szCs w:val="24"/>
        </w:rPr>
        <w:t>,</w:t>
      </w:r>
      <w:r w:rsidR="00C81103" w:rsidRPr="004E2E14">
        <w:rPr>
          <w:rFonts w:ascii="Times New Roman" w:hAnsi="Times New Roman" w:cs="Times New Roman"/>
          <w:sz w:val="24"/>
          <w:szCs w:val="24"/>
        </w:rPr>
        <w:t xml:space="preserve"> and promoting and safeguarding it is one of the main concerns of the Commission, which is responsible for ensuring respect for EU values and law. </w:t>
      </w:r>
    </w:p>
    <w:p w14:paraId="22256E13" w14:textId="51487432" w:rsidR="00C81103" w:rsidRDefault="00C81103"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To this end, the independence, efficiency, and quality of national courts are crucial, particularly since </w:t>
      </w:r>
      <w:r w:rsidR="00EF1E87">
        <w:rPr>
          <w:rFonts w:ascii="Times New Roman" w:hAnsi="Times New Roman" w:cs="Times New Roman"/>
          <w:sz w:val="24"/>
          <w:szCs w:val="24"/>
        </w:rPr>
        <w:t>they must</w:t>
      </w:r>
      <w:r w:rsidRPr="004E2E14">
        <w:rPr>
          <w:rFonts w:ascii="Times New Roman" w:hAnsi="Times New Roman" w:cs="Times New Roman"/>
          <w:sz w:val="24"/>
          <w:szCs w:val="24"/>
        </w:rPr>
        <w:t xml:space="preserve"> ensure respect for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We must not forget that national courts are the primary enforcers of EU law. As such, the independence of th</w:t>
      </w:r>
      <w:r w:rsidR="00EF0428" w:rsidRPr="004E2E14">
        <w:rPr>
          <w:rFonts w:ascii="Times New Roman" w:hAnsi="Times New Roman" w:cs="Times New Roman"/>
          <w:sz w:val="24"/>
          <w:szCs w:val="24"/>
        </w:rPr>
        <w:t>ose</w:t>
      </w:r>
      <w:r w:rsidRPr="004E2E14">
        <w:rPr>
          <w:rFonts w:ascii="Times New Roman" w:hAnsi="Times New Roman" w:cs="Times New Roman"/>
          <w:sz w:val="24"/>
          <w:szCs w:val="24"/>
        </w:rPr>
        <w:t xml:space="preserve"> courts and their proper functioning are essential for the confidence of citizens and businesses in the public administration, for the functioning of the single market and the legal order of the European Union</w:t>
      </w:r>
      <w:r w:rsidR="00BF0AB1">
        <w:rPr>
          <w:rFonts w:ascii="Times New Roman" w:hAnsi="Times New Roman" w:cs="Times New Roman"/>
          <w:sz w:val="24"/>
          <w:szCs w:val="24"/>
        </w:rPr>
        <w:t>,</w:t>
      </w:r>
      <w:r w:rsidRPr="004E2E14">
        <w:rPr>
          <w:rFonts w:ascii="Times New Roman" w:hAnsi="Times New Roman" w:cs="Times New Roman"/>
          <w:sz w:val="24"/>
          <w:szCs w:val="24"/>
        </w:rPr>
        <w:t xml:space="preserve"> and even its foreign policy.</w:t>
      </w:r>
      <w:r w:rsidR="008C706A" w:rsidRPr="004E2E14">
        <w:rPr>
          <w:rFonts w:ascii="Times New Roman" w:hAnsi="Times New Roman" w:cs="Times New Roman"/>
          <w:sz w:val="24"/>
          <w:szCs w:val="24"/>
        </w:rPr>
        <w:t xml:space="preserve"> The </w:t>
      </w:r>
      <w:r w:rsidR="00062F6C">
        <w:rPr>
          <w:rFonts w:ascii="Times New Roman" w:hAnsi="Times New Roman" w:cs="Times New Roman"/>
          <w:sz w:val="24"/>
          <w:szCs w:val="24"/>
        </w:rPr>
        <w:t>Rule of Law</w:t>
      </w:r>
      <w:r w:rsidR="008C706A" w:rsidRPr="004E2E14">
        <w:rPr>
          <w:rFonts w:ascii="Times New Roman" w:hAnsi="Times New Roman" w:cs="Times New Roman"/>
          <w:sz w:val="24"/>
          <w:szCs w:val="24"/>
        </w:rPr>
        <w:t xml:space="preserve"> is a key guiding principle for the </w:t>
      </w:r>
      <w:r w:rsidR="00EF1E87">
        <w:rPr>
          <w:rFonts w:ascii="Times New Roman" w:hAnsi="Times New Roman" w:cs="Times New Roman"/>
          <w:sz w:val="24"/>
          <w:szCs w:val="24"/>
        </w:rPr>
        <w:t>EU's</w:t>
      </w:r>
      <w:r w:rsidR="008C706A" w:rsidRPr="004E2E14">
        <w:rPr>
          <w:rFonts w:ascii="Times New Roman" w:hAnsi="Times New Roman" w:cs="Times New Roman"/>
          <w:sz w:val="24"/>
          <w:szCs w:val="24"/>
        </w:rPr>
        <w:t xml:space="preserve"> action beyond its borders.</w:t>
      </w:r>
    </w:p>
    <w:p w14:paraId="71338680" w14:textId="1EB566FF" w:rsidR="00EF1E87" w:rsidRPr="004E2E14" w:rsidRDefault="00EF1E87"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there are multiple mechanisms in place to combat </w:t>
      </w:r>
      <w:r w:rsidR="00062F6C">
        <w:rPr>
          <w:rFonts w:ascii="Times New Roman" w:hAnsi="Times New Roman" w:cs="Times New Roman"/>
          <w:sz w:val="24"/>
          <w:szCs w:val="24"/>
        </w:rPr>
        <w:t>Rule of Law</w:t>
      </w:r>
      <w:r>
        <w:rPr>
          <w:rFonts w:ascii="Times New Roman" w:hAnsi="Times New Roman" w:cs="Times New Roman"/>
          <w:sz w:val="24"/>
          <w:szCs w:val="24"/>
        </w:rPr>
        <w:t xml:space="preserve"> and judicial independence backsliding, as it happens in Poland and Hungary, their effectiveness is often limited by political dynamics within the EU and resistance from the respective governments. </w:t>
      </w:r>
      <w:r w:rsidR="00814079">
        <w:rPr>
          <w:rFonts w:ascii="Times New Roman" w:hAnsi="Times New Roman" w:cs="Times New Roman"/>
          <w:sz w:val="24"/>
          <w:szCs w:val="24"/>
        </w:rPr>
        <w:t xml:space="preserve">Effectively, political fragmentation and resistance from </w:t>
      </w:r>
      <w:r w:rsidR="00062F6C">
        <w:rPr>
          <w:rFonts w:ascii="Times New Roman" w:hAnsi="Times New Roman" w:cs="Times New Roman"/>
          <w:sz w:val="24"/>
          <w:szCs w:val="24"/>
        </w:rPr>
        <w:t>Member States</w:t>
      </w:r>
      <w:r w:rsidR="00814079">
        <w:rPr>
          <w:rFonts w:ascii="Times New Roman" w:hAnsi="Times New Roman" w:cs="Times New Roman"/>
          <w:sz w:val="24"/>
          <w:szCs w:val="24"/>
        </w:rPr>
        <w:t xml:space="preserve"> hinder the effectiveness of EU measures. </w:t>
      </w:r>
      <w:r>
        <w:rPr>
          <w:rFonts w:ascii="Times New Roman" w:hAnsi="Times New Roman" w:cs="Times New Roman"/>
          <w:sz w:val="24"/>
          <w:szCs w:val="24"/>
        </w:rPr>
        <w:t xml:space="preserve">Financial leverage, such as </w:t>
      </w:r>
      <w:r w:rsidR="00BF0AB1">
        <w:rPr>
          <w:rFonts w:ascii="Times New Roman" w:hAnsi="Times New Roman" w:cs="Times New Roman"/>
          <w:sz w:val="24"/>
          <w:szCs w:val="24"/>
        </w:rPr>
        <w:t xml:space="preserve">the </w:t>
      </w:r>
      <w:r>
        <w:rPr>
          <w:rFonts w:ascii="Times New Roman" w:hAnsi="Times New Roman" w:cs="Times New Roman"/>
          <w:sz w:val="24"/>
          <w:szCs w:val="24"/>
        </w:rPr>
        <w:t>EU Conditionality Regulation, appears to be one of the more promising tools, but consistent pressure from both EU institutions and international actors remains essential to curbing further democratic erosion.</w:t>
      </w:r>
    </w:p>
    <w:p w14:paraId="2E0503E9" w14:textId="310F5F4A" w:rsidR="00BC4859" w:rsidRDefault="00CD0C16" w:rsidP="001D12B5">
      <w:pPr>
        <w:spacing w:after="0" w:line="240" w:lineRule="auto"/>
        <w:jc w:val="both"/>
        <w:rPr>
          <w:rFonts w:ascii="Times New Roman" w:hAnsi="Times New Roman" w:cs="Times New Roman"/>
          <w:sz w:val="24"/>
          <w:szCs w:val="24"/>
        </w:rPr>
      </w:pPr>
      <w:r w:rsidRPr="004E2E14">
        <w:rPr>
          <w:rFonts w:ascii="Times New Roman" w:hAnsi="Times New Roman" w:cs="Times New Roman"/>
          <w:sz w:val="24"/>
          <w:szCs w:val="24"/>
        </w:rPr>
        <w:t xml:space="preserve">That said, the European Union </w:t>
      </w:r>
      <w:r w:rsidR="00BC4859" w:rsidRPr="004E2E14">
        <w:rPr>
          <w:rFonts w:ascii="Times New Roman" w:hAnsi="Times New Roman" w:cs="Times New Roman"/>
          <w:sz w:val="24"/>
          <w:szCs w:val="24"/>
        </w:rPr>
        <w:t>cannot</w:t>
      </w:r>
      <w:r w:rsidRPr="004E2E14">
        <w:rPr>
          <w:rFonts w:ascii="Times New Roman" w:hAnsi="Times New Roman" w:cs="Times New Roman"/>
          <w:sz w:val="24"/>
          <w:szCs w:val="24"/>
        </w:rPr>
        <w:t xml:space="preserve"> </w:t>
      </w:r>
      <w:r w:rsidR="00D63CA6">
        <w:rPr>
          <w:rFonts w:ascii="Times New Roman" w:hAnsi="Times New Roman" w:cs="Times New Roman"/>
          <w:sz w:val="24"/>
          <w:szCs w:val="24"/>
        </w:rPr>
        <w:t xml:space="preserve">take it for granted. </w:t>
      </w:r>
      <w:r w:rsidR="00BF0AB1">
        <w:rPr>
          <w:rFonts w:ascii="Times New Roman" w:hAnsi="Times New Roman" w:cs="Times New Roman"/>
          <w:sz w:val="24"/>
          <w:szCs w:val="24"/>
        </w:rPr>
        <w:t>And it</w:t>
      </w:r>
      <w:r w:rsidR="00D63CA6">
        <w:rPr>
          <w:rFonts w:ascii="Times New Roman" w:hAnsi="Times New Roman" w:cs="Times New Roman"/>
          <w:sz w:val="24"/>
          <w:szCs w:val="24"/>
        </w:rPr>
        <w:t xml:space="preserve"> cannot </w:t>
      </w:r>
      <w:r w:rsidRPr="004E2E14">
        <w:rPr>
          <w:rFonts w:ascii="Times New Roman" w:hAnsi="Times New Roman" w:cs="Times New Roman"/>
          <w:sz w:val="24"/>
          <w:szCs w:val="24"/>
        </w:rPr>
        <w:t xml:space="preserve">remain based on </w:t>
      </w:r>
      <w:r w:rsidR="00BF0AB1">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if </w:t>
      </w:r>
      <w:r w:rsidR="00BC4859" w:rsidRPr="004E2E14">
        <w:rPr>
          <w:rFonts w:ascii="Times New Roman" w:hAnsi="Times New Roman" w:cs="Times New Roman"/>
          <w:sz w:val="24"/>
          <w:szCs w:val="24"/>
        </w:rPr>
        <w:t xml:space="preserve">the </w:t>
      </w:r>
      <w:r w:rsidR="00062F6C">
        <w:rPr>
          <w:rFonts w:ascii="Times New Roman" w:hAnsi="Times New Roman" w:cs="Times New Roman"/>
          <w:sz w:val="24"/>
          <w:szCs w:val="24"/>
        </w:rPr>
        <w:t>Member States</w:t>
      </w:r>
      <w:r w:rsidR="00BC4859" w:rsidRPr="004E2E14">
        <w:rPr>
          <w:rFonts w:ascii="Times New Roman" w:hAnsi="Times New Roman" w:cs="Times New Roman"/>
          <w:sz w:val="24"/>
          <w:szCs w:val="24"/>
        </w:rPr>
        <w:t xml:space="preserve"> themselves do not respect it. </w:t>
      </w:r>
      <w:r w:rsidR="009E45F1" w:rsidRPr="004E2E14">
        <w:rPr>
          <w:rFonts w:ascii="Times New Roman" w:hAnsi="Times New Roman" w:cs="Times New Roman"/>
          <w:sz w:val="24"/>
          <w:szCs w:val="24"/>
        </w:rPr>
        <w:t>That is</w:t>
      </w:r>
      <w:r w:rsidR="00BC4859" w:rsidRPr="004E2E14">
        <w:rPr>
          <w:rFonts w:ascii="Times New Roman" w:hAnsi="Times New Roman" w:cs="Times New Roman"/>
          <w:sz w:val="24"/>
          <w:szCs w:val="24"/>
        </w:rPr>
        <w:t xml:space="preserve"> why it is </w:t>
      </w:r>
      <w:r w:rsidR="00BF0AB1">
        <w:rPr>
          <w:rFonts w:ascii="Times New Roman" w:hAnsi="Times New Roman" w:cs="Times New Roman"/>
          <w:sz w:val="24"/>
          <w:szCs w:val="24"/>
        </w:rPr>
        <w:t>expected</w:t>
      </w:r>
      <w:r w:rsidR="00BC4859" w:rsidRPr="004E2E14">
        <w:rPr>
          <w:rFonts w:ascii="Times New Roman" w:hAnsi="Times New Roman" w:cs="Times New Roman"/>
          <w:sz w:val="24"/>
          <w:szCs w:val="24"/>
        </w:rPr>
        <w:t xml:space="preserve"> that </w:t>
      </w:r>
      <w:r w:rsidR="00107274" w:rsidRPr="004E2E14">
        <w:rPr>
          <w:rFonts w:ascii="Times New Roman" w:hAnsi="Times New Roman" w:cs="Times New Roman"/>
          <w:sz w:val="24"/>
          <w:szCs w:val="24"/>
        </w:rPr>
        <w:t>the European</w:t>
      </w:r>
      <w:r w:rsidR="00BC4859" w:rsidRPr="004E2E14">
        <w:rPr>
          <w:rFonts w:ascii="Times New Roman" w:hAnsi="Times New Roman" w:cs="Times New Roman"/>
          <w:sz w:val="24"/>
          <w:szCs w:val="24"/>
        </w:rPr>
        <w:t xml:space="preserve"> Union </w:t>
      </w:r>
      <w:r w:rsidR="008062BA" w:rsidRPr="004E2E14">
        <w:rPr>
          <w:rFonts w:ascii="Times New Roman" w:hAnsi="Times New Roman" w:cs="Times New Roman"/>
          <w:sz w:val="24"/>
          <w:szCs w:val="24"/>
        </w:rPr>
        <w:t xml:space="preserve">can unite to </w:t>
      </w:r>
      <w:r w:rsidR="00BC4859" w:rsidRPr="004E2E14">
        <w:rPr>
          <w:rFonts w:ascii="Times New Roman" w:hAnsi="Times New Roman" w:cs="Times New Roman"/>
          <w:sz w:val="24"/>
          <w:szCs w:val="24"/>
        </w:rPr>
        <w:t xml:space="preserve">react </w:t>
      </w:r>
      <w:r w:rsidR="001D08F8" w:rsidRPr="004E2E14">
        <w:rPr>
          <w:rFonts w:ascii="Times New Roman" w:hAnsi="Times New Roman" w:cs="Times New Roman"/>
          <w:sz w:val="24"/>
          <w:szCs w:val="24"/>
        </w:rPr>
        <w:t xml:space="preserve">promptly, </w:t>
      </w:r>
      <w:r w:rsidR="00BC4859" w:rsidRPr="004E2E14">
        <w:rPr>
          <w:rFonts w:ascii="Times New Roman" w:hAnsi="Times New Roman" w:cs="Times New Roman"/>
          <w:sz w:val="24"/>
          <w:szCs w:val="24"/>
        </w:rPr>
        <w:t>forcefully</w:t>
      </w:r>
      <w:r w:rsidR="00BF0AB1">
        <w:rPr>
          <w:rFonts w:ascii="Times New Roman" w:hAnsi="Times New Roman" w:cs="Times New Roman"/>
          <w:sz w:val="24"/>
          <w:szCs w:val="24"/>
        </w:rPr>
        <w:t>,</w:t>
      </w:r>
      <w:r w:rsidR="00BC4859" w:rsidRPr="004E2E14">
        <w:rPr>
          <w:rFonts w:ascii="Times New Roman" w:hAnsi="Times New Roman" w:cs="Times New Roman"/>
          <w:sz w:val="24"/>
          <w:szCs w:val="24"/>
        </w:rPr>
        <w:t xml:space="preserve"> and dissuasively </w:t>
      </w:r>
      <w:r w:rsidR="008062BA" w:rsidRPr="004E2E14">
        <w:rPr>
          <w:rFonts w:ascii="Times New Roman" w:hAnsi="Times New Roman" w:cs="Times New Roman"/>
          <w:sz w:val="24"/>
          <w:szCs w:val="24"/>
        </w:rPr>
        <w:t>when confronted with</w:t>
      </w:r>
      <w:r w:rsidR="00BC4859" w:rsidRPr="004E2E14">
        <w:rPr>
          <w:rFonts w:ascii="Times New Roman" w:hAnsi="Times New Roman" w:cs="Times New Roman"/>
          <w:sz w:val="24"/>
          <w:szCs w:val="24"/>
        </w:rPr>
        <w:t xml:space="preserve"> </w:t>
      </w:r>
      <w:r w:rsidR="008062BA" w:rsidRPr="004E2E14">
        <w:rPr>
          <w:rFonts w:ascii="Times New Roman" w:hAnsi="Times New Roman" w:cs="Times New Roman"/>
          <w:sz w:val="24"/>
          <w:szCs w:val="24"/>
        </w:rPr>
        <w:t>internal threats against its founding values</w:t>
      </w:r>
      <w:r w:rsidR="00E975C8" w:rsidRPr="004E2E14">
        <w:rPr>
          <w:rFonts w:ascii="Times New Roman" w:hAnsi="Times New Roman" w:cs="Times New Roman"/>
          <w:sz w:val="24"/>
          <w:szCs w:val="24"/>
        </w:rPr>
        <w:t xml:space="preserve">. </w:t>
      </w:r>
    </w:p>
    <w:p w14:paraId="4E41E14E" w14:textId="415D4944" w:rsidR="006061E4" w:rsidRDefault="006061E4"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conclusion, fighting </w:t>
      </w:r>
      <w:r w:rsidR="00622321">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Pr>
          <w:rFonts w:ascii="Times New Roman" w:hAnsi="Times New Roman" w:cs="Times New Roman"/>
          <w:sz w:val="24"/>
          <w:szCs w:val="24"/>
        </w:rPr>
        <w:t xml:space="preserve"> backsliding requires a multifaceted approach involving legal action, political pressure, and strengthening democratic norms both domestically and at the EU level.</w:t>
      </w:r>
    </w:p>
    <w:p w14:paraId="7EA0A788" w14:textId="3F9852EA" w:rsidR="006061E4" w:rsidRDefault="006061E4"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EU has established mechanisms to enforce the </w:t>
      </w:r>
      <w:r w:rsidR="00062F6C">
        <w:rPr>
          <w:rFonts w:ascii="Times New Roman" w:hAnsi="Times New Roman" w:cs="Times New Roman"/>
          <w:sz w:val="24"/>
          <w:szCs w:val="24"/>
        </w:rPr>
        <w:t>Rule of Law</w:t>
      </w:r>
      <w:r>
        <w:rPr>
          <w:rFonts w:ascii="Times New Roman" w:hAnsi="Times New Roman" w:cs="Times New Roman"/>
          <w:sz w:val="24"/>
          <w:szCs w:val="24"/>
        </w:rPr>
        <w:t xml:space="preserve"> standards, but their effectiveness depends on political will, the unity of </w:t>
      </w:r>
      <w:r w:rsidR="00062F6C">
        <w:rPr>
          <w:rFonts w:ascii="Times New Roman" w:hAnsi="Times New Roman" w:cs="Times New Roman"/>
          <w:sz w:val="24"/>
          <w:szCs w:val="24"/>
        </w:rPr>
        <w:t>Member States</w:t>
      </w:r>
      <w:r>
        <w:rPr>
          <w:rFonts w:ascii="Times New Roman" w:hAnsi="Times New Roman" w:cs="Times New Roman"/>
          <w:sz w:val="24"/>
          <w:szCs w:val="24"/>
        </w:rPr>
        <w:t xml:space="preserve">, and civil society resistance within the affected countries. </w:t>
      </w:r>
      <w:r w:rsidR="00622321">
        <w:rPr>
          <w:rFonts w:ascii="Times New Roman" w:hAnsi="Times New Roman" w:cs="Times New Roman"/>
          <w:sz w:val="24"/>
          <w:szCs w:val="24"/>
        </w:rPr>
        <w:t xml:space="preserve">This requires the existence of robust institutional frameworks, active civil societies, and international solidarity to resist the erosion of democratic principles and maintain the independence of the judiciary. </w:t>
      </w:r>
    </w:p>
    <w:p w14:paraId="794B4B57" w14:textId="6CC6BF9B" w:rsidR="00335044" w:rsidRDefault="00335044"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European Union and other international institutions must continue to address </w:t>
      </w:r>
      <w:r w:rsidR="002B2391">
        <w:rPr>
          <w:rFonts w:ascii="Times New Roman" w:hAnsi="Times New Roman" w:cs="Times New Roman"/>
          <w:sz w:val="24"/>
          <w:szCs w:val="24"/>
        </w:rPr>
        <w:t>these issues through legal, political, and financial means to safeguard the core values of liberal democracy.</w:t>
      </w:r>
    </w:p>
    <w:p w14:paraId="08BDA6C7" w14:textId="7E7A2805" w:rsidR="00963A76" w:rsidRDefault="00E8591F" w:rsidP="001D1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summary, our findings indicate that the </w:t>
      </w:r>
      <w:r w:rsidR="00062F6C">
        <w:rPr>
          <w:rFonts w:ascii="Times New Roman" w:hAnsi="Times New Roman" w:cs="Times New Roman"/>
          <w:sz w:val="24"/>
          <w:szCs w:val="24"/>
        </w:rPr>
        <w:t>Rule of Law</w:t>
      </w:r>
      <w:r>
        <w:rPr>
          <w:rFonts w:ascii="Times New Roman" w:hAnsi="Times New Roman" w:cs="Times New Roman"/>
          <w:sz w:val="24"/>
          <w:szCs w:val="24"/>
        </w:rPr>
        <w:t xml:space="preserve"> and judicial independence are critically endangered mainly in the illiberal democracies </w:t>
      </w:r>
      <w:r w:rsidR="00C252E8">
        <w:rPr>
          <w:rFonts w:ascii="Times New Roman" w:hAnsi="Times New Roman" w:cs="Times New Roman"/>
          <w:sz w:val="24"/>
          <w:szCs w:val="24"/>
        </w:rPr>
        <w:t>such as</w:t>
      </w:r>
      <w:r>
        <w:rPr>
          <w:rFonts w:ascii="Times New Roman" w:hAnsi="Times New Roman" w:cs="Times New Roman"/>
          <w:sz w:val="24"/>
          <w:szCs w:val="24"/>
        </w:rPr>
        <w:t xml:space="preserve"> Hungary and Poland. This study identifies effective mechanisms to counteract the backsliding of these fundamental principles, providing a crucial framework for addressing similar challenges across the European Union. A comprehensive analysis of CJEU and ECtHR case law highlights the systemic threats posed by political interference and legislative reforms.</w:t>
      </w:r>
      <w:r w:rsidR="00963A76">
        <w:rPr>
          <w:rFonts w:ascii="Times New Roman" w:hAnsi="Times New Roman" w:cs="Times New Roman"/>
          <w:sz w:val="24"/>
          <w:szCs w:val="24"/>
        </w:rPr>
        <w:t xml:space="preserve"> </w:t>
      </w:r>
      <w:r>
        <w:rPr>
          <w:rFonts w:ascii="Times New Roman" w:hAnsi="Times New Roman" w:cs="Times New Roman"/>
          <w:sz w:val="24"/>
          <w:szCs w:val="24"/>
        </w:rPr>
        <w:t xml:space="preserve">The significance of these findings extends beyond theoretical implications, offering strategies for reinforcing judicial independence and upholding democratic values. By identifying mechanisms such as enhanced EU oversight, conditional funding, and strategic litigation, this </w:t>
      </w:r>
      <w:r w:rsidR="00963A76">
        <w:rPr>
          <w:rFonts w:ascii="Times New Roman" w:hAnsi="Times New Roman" w:cs="Times New Roman"/>
          <w:sz w:val="24"/>
          <w:szCs w:val="24"/>
        </w:rPr>
        <w:t xml:space="preserve">study </w:t>
      </w:r>
      <w:r w:rsidR="00546752">
        <w:rPr>
          <w:rFonts w:ascii="Times New Roman" w:hAnsi="Times New Roman" w:cs="Times New Roman"/>
          <w:sz w:val="24"/>
          <w:szCs w:val="24"/>
        </w:rPr>
        <w:t>may provide</w:t>
      </w:r>
      <w:r w:rsidR="00963A76">
        <w:rPr>
          <w:rFonts w:ascii="Times New Roman" w:hAnsi="Times New Roman" w:cs="Times New Roman"/>
          <w:sz w:val="24"/>
          <w:szCs w:val="24"/>
        </w:rPr>
        <w:t xml:space="preserve"> actionable insights that can inform policy decisions and guide international cooperation efforts. These strategies are essential for safeguarding the judiciary from political encroachments and ensuring the integrity of democratic institutions.</w:t>
      </w:r>
    </w:p>
    <w:p w14:paraId="2D22E30E" w14:textId="77777777" w:rsidR="00B80F60" w:rsidRDefault="00B80F60" w:rsidP="004E2E14">
      <w:pPr>
        <w:spacing w:after="0" w:line="240" w:lineRule="auto"/>
        <w:ind w:firstLine="567"/>
        <w:jc w:val="both"/>
        <w:rPr>
          <w:rFonts w:ascii="Times New Roman" w:hAnsi="Times New Roman" w:cs="Times New Roman"/>
          <w:sz w:val="24"/>
          <w:szCs w:val="24"/>
        </w:rPr>
      </w:pPr>
    </w:p>
    <w:p w14:paraId="2C30FA32" w14:textId="77777777" w:rsidR="00107274" w:rsidRPr="004E2E14" w:rsidRDefault="00107274" w:rsidP="004E2E14">
      <w:pPr>
        <w:spacing w:after="0" w:line="240" w:lineRule="auto"/>
        <w:ind w:firstLine="567"/>
        <w:jc w:val="both"/>
        <w:rPr>
          <w:rFonts w:ascii="Times New Roman" w:hAnsi="Times New Roman" w:cs="Times New Roman"/>
          <w:sz w:val="24"/>
          <w:szCs w:val="24"/>
        </w:rPr>
      </w:pPr>
    </w:p>
    <w:p w14:paraId="225A773B" w14:textId="7331FDEB" w:rsidR="00C20FB0" w:rsidRPr="00425FC8" w:rsidRDefault="00196248" w:rsidP="00425FC8">
      <w:pPr>
        <w:pStyle w:val="Prrafodelista"/>
        <w:numPr>
          <w:ilvl w:val="0"/>
          <w:numId w:val="22"/>
        </w:numPr>
        <w:spacing w:line="240" w:lineRule="auto"/>
        <w:jc w:val="both"/>
        <w:rPr>
          <w:rFonts w:ascii="Times New Roman" w:hAnsi="Times New Roman" w:cs="Times New Roman"/>
          <w:b/>
          <w:bCs/>
          <w:sz w:val="24"/>
          <w:szCs w:val="24"/>
        </w:rPr>
      </w:pPr>
      <w:r w:rsidRPr="00425FC8">
        <w:rPr>
          <w:rFonts w:ascii="Times New Roman" w:hAnsi="Times New Roman" w:cs="Times New Roman"/>
          <w:b/>
          <w:bCs/>
          <w:smallCaps/>
          <w:sz w:val="24"/>
          <w:szCs w:val="24"/>
        </w:rPr>
        <w:t>REFERENCES</w:t>
      </w:r>
      <w:r w:rsidRPr="00425FC8">
        <w:rPr>
          <w:rFonts w:ascii="Times New Roman" w:hAnsi="Times New Roman" w:cs="Times New Roman"/>
          <w:b/>
          <w:bCs/>
          <w:sz w:val="24"/>
          <w:szCs w:val="24"/>
        </w:rPr>
        <w:t>:</w:t>
      </w:r>
    </w:p>
    <w:p w14:paraId="40F1461D" w14:textId="3A3378BD" w:rsidR="00B43DE5"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BÁRD, P., </w:t>
      </w:r>
      <w:r w:rsidR="00B43DE5" w:rsidRPr="004E2E14">
        <w:rPr>
          <w:rFonts w:ascii="Times New Roman" w:hAnsi="Times New Roman" w:cs="Times New Roman"/>
          <w:sz w:val="24"/>
          <w:szCs w:val="24"/>
        </w:rPr>
        <w:t xml:space="preserve">«The Crisis of the </w:t>
      </w:r>
      <w:r w:rsidR="00062F6C">
        <w:rPr>
          <w:rFonts w:ascii="Times New Roman" w:hAnsi="Times New Roman" w:cs="Times New Roman"/>
          <w:sz w:val="24"/>
          <w:szCs w:val="24"/>
        </w:rPr>
        <w:t>Rule of Law</w:t>
      </w:r>
      <w:r w:rsidR="00B43DE5" w:rsidRPr="004E2E14">
        <w:rPr>
          <w:rFonts w:ascii="Times New Roman" w:hAnsi="Times New Roman" w:cs="Times New Roman"/>
          <w:sz w:val="24"/>
          <w:szCs w:val="24"/>
        </w:rPr>
        <w:t xml:space="preserve">, Democracy and Fundamental Rights in Hungary», </w:t>
      </w:r>
      <w:r w:rsidR="00B43DE5" w:rsidRPr="004E2E14">
        <w:rPr>
          <w:rFonts w:ascii="Times New Roman" w:hAnsi="Times New Roman" w:cs="Times New Roman"/>
          <w:i/>
          <w:iCs/>
          <w:sz w:val="24"/>
          <w:szCs w:val="24"/>
        </w:rPr>
        <w:t>MTA Law Working Papers</w:t>
      </w:r>
      <w:r w:rsidR="00B43DE5" w:rsidRPr="004E2E14">
        <w:rPr>
          <w:rFonts w:ascii="Times New Roman" w:hAnsi="Times New Roman" w:cs="Times New Roman"/>
          <w:sz w:val="24"/>
          <w:szCs w:val="24"/>
        </w:rPr>
        <w:t xml:space="preserve"> 2022/4, available at https://jog.tk.hu/mtalwp/the-crisis-of-the-rule-of-law-democracy-and-fundamental-rights-in-hungary] </w:t>
      </w:r>
    </w:p>
    <w:p w14:paraId="0B3592F2" w14:textId="23D19F9A" w:rsidR="00106536" w:rsidRPr="004E2E14" w:rsidRDefault="001D12B5" w:rsidP="001D12B5">
      <w:pPr>
        <w:pStyle w:val="Textonotapie"/>
        <w:ind w:left="567"/>
        <w:jc w:val="both"/>
        <w:rPr>
          <w:rFonts w:ascii="Times New Roman" w:hAnsi="Times New Roman" w:cs="Times New Roman"/>
          <w:sz w:val="24"/>
          <w:szCs w:val="24"/>
        </w:rPr>
      </w:pPr>
      <w:r>
        <w:rPr>
          <w:rFonts w:ascii="Times New Roman" w:hAnsi="Times New Roman" w:cs="Times New Roman"/>
          <w:sz w:val="24"/>
          <w:szCs w:val="24"/>
        </w:rPr>
        <w:t>-</w:t>
      </w:r>
      <w:r w:rsidR="00106536" w:rsidRPr="004E2E14">
        <w:rPr>
          <w:rFonts w:ascii="Times New Roman" w:hAnsi="Times New Roman" w:cs="Times New Roman"/>
          <w:sz w:val="24"/>
          <w:szCs w:val="24"/>
        </w:rPr>
        <w:t xml:space="preserve">«In courts we trust, or should we? Judicial independence as the precondition for the effectiveness of EU law», </w:t>
      </w:r>
      <w:r w:rsidR="00106536" w:rsidRPr="004E2E14">
        <w:rPr>
          <w:rFonts w:ascii="Times New Roman" w:hAnsi="Times New Roman" w:cs="Times New Roman"/>
          <w:i/>
          <w:iCs/>
          <w:sz w:val="24"/>
          <w:szCs w:val="24"/>
        </w:rPr>
        <w:t>European Law Journal</w:t>
      </w:r>
      <w:r w:rsidR="00106536" w:rsidRPr="004E2E14">
        <w:rPr>
          <w:rFonts w:ascii="Times New Roman" w:hAnsi="Times New Roman" w:cs="Times New Roman"/>
          <w:sz w:val="24"/>
          <w:szCs w:val="24"/>
        </w:rPr>
        <w:t>, 2022, pp. 1-26.</w:t>
      </w:r>
    </w:p>
    <w:p w14:paraId="3DE15542" w14:textId="5E7086CD" w:rsidR="00F3264B" w:rsidRPr="004E2E14" w:rsidRDefault="00F3264B"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BÁRD, P. and PECH, L. </w:t>
      </w:r>
      <w:r w:rsidRPr="004E2E14">
        <w:rPr>
          <w:rFonts w:ascii="Times New Roman" w:hAnsi="Times New Roman" w:cs="Times New Roman"/>
          <w:i/>
          <w:iCs/>
          <w:sz w:val="24"/>
          <w:szCs w:val="24"/>
        </w:rPr>
        <w:t>How to build and Consolidate a Party Free Pseudo Democracy by Constitutional Means in Three Steps: The “Hungarian Model,”</w:t>
      </w:r>
      <w:r w:rsidRPr="004E2E14">
        <w:rPr>
          <w:rFonts w:ascii="Times New Roman" w:hAnsi="Times New Roman" w:cs="Times New Roman"/>
          <w:sz w:val="24"/>
          <w:szCs w:val="24"/>
        </w:rPr>
        <w:t xml:space="preserve"> Reconnect Working Paper, 1, 2019.</w:t>
      </w:r>
    </w:p>
    <w:p w14:paraId="1CEAB416" w14:textId="3F8E3147" w:rsidR="00F3264B" w:rsidRPr="004E2E14" w:rsidRDefault="00F3264B"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BOZÓKI, A. «Occupy the State. The Orbán Regime in Hungary», </w:t>
      </w:r>
      <w:r w:rsidRPr="004E2E14">
        <w:rPr>
          <w:rFonts w:ascii="Times New Roman" w:hAnsi="Times New Roman" w:cs="Times New Roman"/>
          <w:i/>
          <w:iCs/>
          <w:sz w:val="24"/>
          <w:szCs w:val="24"/>
        </w:rPr>
        <w:t>Debatte: Journal of Contemporary Central and Eastern Europe</w:t>
      </w:r>
      <w:r w:rsidRPr="004E2E14">
        <w:rPr>
          <w:rFonts w:ascii="Times New Roman" w:hAnsi="Times New Roman" w:cs="Times New Roman"/>
          <w:sz w:val="24"/>
          <w:szCs w:val="24"/>
        </w:rPr>
        <w:t>, vol. 19, issue 3, 2011, pp. 649-663.</w:t>
      </w:r>
    </w:p>
    <w:p w14:paraId="2CBE6F15" w14:textId="77777777"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BURBANK, S., «What do We Mean by Judicial Independence?», </w:t>
      </w:r>
      <w:r w:rsidRPr="004E2E14">
        <w:rPr>
          <w:rFonts w:ascii="Times New Roman" w:hAnsi="Times New Roman" w:cs="Times New Roman"/>
          <w:i/>
          <w:iCs/>
          <w:sz w:val="24"/>
          <w:szCs w:val="24"/>
        </w:rPr>
        <w:t>Ohio State Law Journal</w:t>
      </w:r>
      <w:r w:rsidRPr="004E2E14">
        <w:rPr>
          <w:rFonts w:ascii="Times New Roman" w:hAnsi="Times New Roman" w:cs="Times New Roman"/>
          <w:sz w:val="24"/>
          <w:szCs w:val="24"/>
        </w:rPr>
        <w:t xml:space="preserve">, vol. 64, no. 1, 2003, pp. 323-340). </w:t>
      </w:r>
    </w:p>
    <w:p w14:paraId="5A465701" w14:textId="77777777"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BATOR, P., «The Constitution as an Architecture: Legislative and Administrative Courts under Article III», </w:t>
      </w:r>
      <w:r w:rsidRPr="004E2E14">
        <w:rPr>
          <w:rFonts w:ascii="Times New Roman" w:hAnsi="Times New Roman" w:cs="Times New Roman"/>
          <w:i/>
          <w:iCs/>
          <w:sz w:val="24"/>
          <w:szCs w:val="24"/>
        </w:rPr>
        <w:t>Indiana Law Journal</w:t>
      </w:r>
      <w:r w:rsidRPr="004E2E14">
        <w:rPr>
          <w:rFonts w:ascii="Times New Roman" w:hAnsi="Times New Roman" w:cs="Times New Roman"/>
          <w:sz w:val="24"/>
          <w:szCs w:val="24"/>
        </w:rPr>
        <w:t xml:space="preserve">, vol. 65, no. 2, Article 2, 1990, pp. 233-275). </w:t>
      </w:r>
    </w:p>
    <w:p w14:paraId="1AECF3EA" w14:textId="77777777"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FREEBERG, J., «Don’t Judge Me: Declining Judicial Independence in Hungary and Poland», </w:t>
      </w:r>
      <w:r w:rsidRPr="004E2E14">
        <w:rPr>
          <w:rFonts w:ascii="Times New Roman" w:hAnsi="Times New Roman" w:cs="Times New Roman"/>
          <w:i/>
          <w:iCs/>
          <w:sz w:val="24"/>
          <w:szCs w:val="24"/>
        </w:rPr>
        <w:t>WWU Honors College Senior Projects</w:t>
      </w:r>
      <w:r w:rsidRPr="004E2E14">
        <w:rPr>
          <w:rFonts w:ascii="Times New Roman" w:hAnsi="Times New Roman" w:cs="Times New Roman"/>
          <w:sz w:val="24"/>
          <w:szCs w:val="24"/>
        </w:rPr>
        <w:t>. 601, 2022.</w:t>
      </w:r>
    </w:p>
    <w:p w14:paraId="22ED72FF" w14:textId="77777777" w:rsidR="00F3264B" w:rsidRPr="004E2E14" w:rsidRDefault="00F3264B"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HALMAI, G., «Dismantling Constitutional Review in Hungary», Rivista di Diritti Comparati, no. 1, 2019, pp. 31-47.</w:t>
      </w:r>
    </w:p>
    <w:p w14:paraId="34B1C81E" w14:textId="28938498"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ITZCOVICH, G., «On the Legal Enforcement of Values. The Importance of the Institutional Context» in JAKAB, A. and KOCHENOV, D. V. (Eds.), </w:t>
      </w:r>
      <w:r w:rsidR="00492FC7" w:rsidRPr="004E2E14">
        <w:rPr>
          <w:rFonts w:ascii="Times New Roman" w:hAnsi="Times New Roman" w:cs="Times New Roman"/>
          <w:i/>
          <w:iCs/>
          <w:sz w:val="24"/>
          <w:szCs w:val="24"/>
        </w:rPr>
        <w:t xml:space="preserve">The </w:t>
      </w:r>
      <w:r w:rsidR="00492FC7" w:rsidRPr="004E2E14">
        <w:rPr>
          <w:rFonts w:ascii="Times New Roman" w:hAnsi="Times New Roman" w:cs="Times New Roman"/>
          <w:i/>
          <w:iCs/>
          <w:sz w:val="24"/>
          <w:szCs w:val="24"/>
        </w:rPr>
        <w:lastRenderedPageBreak/>
        <w:t xml:space="preserve">Enforcement of EU Law and Values: Ensuring </w:t>
      </w:r>
      <w:r w:rsidR="00062F6C">
        <w:rPr>
          <w:rFonts w:ascii="Times New Roman" w:hAnsi="Times New Roman" w:cs="Times New Roman"/>
          <w:i/>
          <w:iCs/>
          <w:sz w:val="24"/>
          <w:szCs w:val="24"/>
        </w:rPr>
        <w:t>Member States</w:t>
      </w:r>
      <w:r w:rsidR="00492FC7" w:rsidRPr="004E2E14">
        <w:rPr>
          <w:rFonts w:ascii="Times New Roman" w:hAnsi="Times New Roman" w:cs="Times New Roman"/>
          <w:i/>
          <w:iCs/>
          <w:sz w:val="24"/>
          <w:szCs w:val="24"/>
        </w:rPr>
        <w:t>' Compliance</w:t>
      </w:r>
      <w:r w:rsidR="00492FC7" w:rsidRPr="004E2E14">
        <w:rPr>
          <w:rFonts w:ascii="Times New Roman" w:hAnsi="Times New Roman" w:cs="Times New Roman"/>
          <w:sz w:val="24"/>
          <w:szCs w:val="24"/>
        </w:rPr>
        <w:t>, Oxford University Press, 2017.</w:t>
      </w:r>
    </w:p>
    <w:p w14:paraId="2353D349" w14:textId="77777777"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JANSE, R., «Is the European Commission a credible guardian of the values? A revisionist account of the Copenhagen political criteria during the Big Bang enlargement», </w:t>
      </w:r>
      <w:r w:rsidRPr="004E2E14">
        <w:rPr>
          <w:rFonts w:ascii="Times New Roman" w:hAnsi="Times New Roman" w:cs="Times New Roman"/>
          <w:i/>
          <w:iCs/>
          <w:sz w:val="24"/>
          <w:szCs w:val="24"/>
        </w:rPr>
        <w:t>International Journal of Constitutional Law</w:t>
      </w:r>
      <w:r w:rsidRPr="004E2E14">
        <w:rPr>
          <w:rFonts w:ascii="Times New Roman" w:hAnsi="Times New Roman" w:cs="Times New Roman"/>
          <w:sz w:val="24"/>
          <w:szCs w:val="24"/>
        </w:rPr>
        <w:t>, Volume 17, Issue 1, January 2019, pp. 43-65.</w:t>
      </w:r>
    </w:p>
    <w:p w14:paraId="6BFDAD7D" w14:textId="273C4786"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KAUFMAN, I., «The Essence of Judicial Independence», </w:t>
      </w:r>
      <w:r w:rsidRPr="004E2E14">
        <w:rPr>
          <w:rFonts w:ascii="Times New Roman" w:hAnsi="Times New Roman" w:cs="Times New Roman"/>
          <w:i/>
          <w:iCs/>
          <w:sz w:val="24"/>
          <w:szCs w:val="24"/>
        </w:rPr>
        <w:t>Columbia Law Review</w:t>
      </w:r>
      <w:r w:rsidRPr="004E2E14">
        <w:rPr>
          <w:rFonts w:ascii="Times New Roman" w:hAnsi="Times New Roman" w:cs="Times New Roman"/>
          <w:sz w:val="24"/>
          <w:szCs w:val="24"/>
        </w:rPr>
        <w:t xml:space="preserve">, vol. 80, </w:t>
      </w:r>
      <w:r w:rsidR="0080320A" w:rsidRPr="004E2E14">
        <w:rPr>
          <w:rFonts w:ascii="Times New Roman" w:hAnsi="Times New Roman" w:cs="Times New Roman"/>
          <w:sz w:val="24"/>
          <w:szCs w:val="24"/>
        </w:rPr>
        <w:t>n</w:t>
      </w:r>
      <w:r w:rsidRPr="004E2E14">
        <w:rPr>
          <w:rFonts w:ascii="Times New Roman" w:hAnsi="Times New Roman" w:cs="Times New Roman"/>
          <w:sz w:val="24"/>
          <w:szCs w:val="24"/>
        </w:rPr>
        <w:t xml:space="preserve">o. 4, May1980, pp. 671-701. </w:t>
      </w:r>
    </w:p>
    <w:p w14:paraId="24C2E3B2" w14:textId="7D89DC05" w:rsidR="00761ABE" w:rsidRPr="004E2E14" w:rsidRDefault="00761ABE"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KOCHENOV, D. V., «The Acquis and Its Principles: The Enforcement of the Law versus the Enforcement of Values in the EU», JAKAB, A. and KOCHENOV, D. V. (Eds.), </w:t>
      </w:r>
      <w:r w:rsidRPr="004E2E14">
        <w:rPr>
          <w:rFonts w:ascii="Times New Roman" w:hAnsi="Times New Roman" w:cs="Times New Roman"/>
          <w:i/>
          <w:iCs/>
          <w:sz w:val="24"/>
          <w:szCs w:val="24"/>
        </w:rPr>
        <w:t xml:space="preserve">The Enforcement of EU Law and Values: Ensuring </w:t>
      </w:r>
      <w:r w:rsidR="00062F6C">
        <w:rPr>
          <w:rFonts w:ascii="Times New Roman" w:hAnsi="Times New Roman" w:cs="Times New Roman"/>
          <w:i/>
          <w:iCs/>
          <w:sz w:val="24"/>
          <w:szCs w:val="24"/>
        </w:rPr>
        <w:t>Member States</w:t>
      </w:r>
      <w:r w:rsidRPr="004E2E14">
        <w:rPr>
          <w:rFonts w:ascii="Times New Roman" w:hAnsi="Times New Roman" w:cs="Times New Roman"/>
          <w:i/>
          <w:iCs/>
          <w:sz w:val="24"/>
          <w:szCs w:val="24"/>
        </w:rPr>
        <w:t>' Compliance</w:t>
      </w:r>
      <w:r w:rsidRPr="004E2E14">
        <w:rPr>
          <w:rFonts w:ascii="Times New Roman" w:hAnsi="Times New Roman" w:cs="Times New Roman"/>
          <w:sz w:val="24"/>
          <w:szCs w:val="24"/>
        </w:rPr>
        <w:t xml:space="preserve">, Oxford University Press, </w:t>
      </w:r>
      <w:r w:rsidR="00492FC7" w:rsidRPr="004E2E14">
        <w:rPr>
          <w:rFonts w:ascii="Times New Roman" w:hAnsi="Times New Roman" w:cs="Times New Roman"/>
          <w:sz w:val="24"/>
          <w:szCs w:val="24"/>
        </w:rPr>
        <w:t>2017.</w:t>
      </w:r>
      <w:r w:rsidRPr="004E2E14">
        <w:rPr>
          <w:rFonts w:ascii="Times New Roman" w:hAnsi="Times New Roman" w:cs="Times New Roman"/>
          <w:sz w:val="24"/>
          <w:szCs w:val="24"/>
        </w:rPr>
        <w:t xml:space="preserve"> </w:t>
      </w:r>
    </w:p>
    <w:p w14:paraId="69D720D1" w14:textId="504AAC69" w:rsidR="00491103" w:rsidRPr="004E2E14" w:rsidRDefault="00491103"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KOMANOVICS, A., «Hungary and the Luxembourg Court: the CJEU’s Role in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Battlefield», </w:t>
      </w:r>
      <w:r w:rsidRPr="004E2E14">
        <w:rPr>
          <w:rFonts w:ascii="Times New Roman" w:hAnsi="Times New Roman" w:cs="Times New Roman"/>
          <w:i/>
          <w:iCs/>
          <w:sz w:val="24"/>
          <w:szCs w:val="24"/>
        </w:rPr>
        <w:t>EU and Comparative Law Issues and Challenges Series</w:t>
      </w:r>
      <w:r w:rsidRPr="004E2E14">
        <w:rPr>
          <w:rFonts w:ascii="Times New Roman" w:hAnsi="Times New Roman" w:cs="Times New Roman"/>
          <w:sz w:val="24"/>
          <w:szCs w:val="24"/>
        </w:rPr>
        <w:t>, Issue 6, 2022, pp. 122-157, available at https://hrcak.srce.hr/ojs/index.php/eclic/article/view/22413/11940.</w:t>
      </w:r>
    </w:p>
    <w:p w14:paraId="1839608D" w14:textId="77777777" w:rsidR="00F3264B" w:rsidRPr="004E2E14" w:rsidRDefault="00F3264B"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KOVÁCS, K. and SCHEPPELE, K., «The Fragility of an Independent Judiciary: Lessons from Hungary and Poland – and the European Union», </w:t>
      </w:r>
      <w:r w:rsidRPr="004E2E14">
        <w:rPr>
          <w:rFonts w:ascii="Times New Roman" w:hAnsi="Times New Roman" w:cs="Times New Roman"/>
          <w:i/>
          <w:iCs/>
          <w:sz w:val="24"/>
          <w:szCs w:val="24"/>
        </w:rPr>
        <w:t>Communist and Post-Communist Studies</w:t>
      </w:r>
      <w:r w:rsidRPr="004E2E14">
        <w:rPr>
          <w:rFonts w:ascii="Times New Roman" w:hAnsi="Times New Roman" w:cs="Times New Roman"/>
          <w:sz w:val="24"/>
          <w:szCs w:val="24"/>
        </w:rPr>
        <w:t>, vol. 51, no. 3, 2018, pp.189-200.</w:t>
      </w:r>
    </w:p>
    <w:p w14:paraId="50A94FCC" w14:textId="356EDE44"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LENAERTS, K., «New horizons for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within the EU», German Law Journal, German Law Journal, Volume 21, Special Issue 1: 20 Challenges in the EU in </w:t>
      </w:r>
      <w:r w:rsidR="0028589F" w:rsidRPr="004E2E14">
        <w:rPr>
          <w:rFonts w:ascii="Times New Roman" w:hAnsi="Times New Roman" w:cs="Times New Roman"/>
          <w:sz w:val="24"/>
          <w:szCs w:val="24"/>
        </w:rPr>
        <w:t>2020,</w:t>
      </w:r>
      <w:r w:rsidRPr="004E2E14">
        <w:rPr>
          <w:rFonts w:ascii="Times New Roman" w:hAnsi="Times New Roman" w:cs="Times New Roman"/>
          <w:sz w:val="24"/>
          <w:szCs w:val="24"/>
        </w:rPr>
        <w:t xml:space="preserve"> January </w:t>
      </w:r>
      <w:r w:rsidR="0028589F" w:rsidRPr="004E2E14">
        <w:rPr>
          <w:rFonts w:ascii="Times New Roman" w:hAnsi="Times New Roman" w:cs="Times New Roman"/>
          <w:sz w:val="24"/>
          <w:szCs w:val="24"/>
        </w:rPr>
        <w:t>2020,</w:t>
      </w:r>
      <w:r w:rsidRPr="004E2E14">
        <w:rPr>
          <w:rFonts w:ascii="Times New Roman" w:hAnsi="Times New Roman" w:cs="Times New Roman"/>
          <w:sz w:val="24"/>
          <w:szCs w:val="24"/>
        </w:rPr>
        <w:t xml:space="preserve"> pp. 29 – 34. </w:t>
      </w:r>
    </w:p>
    <w:p w14:paraId="3E78F8AB" w14:textId="3BE4AC5D" w:rsidR="00106536" w:rsidRPr="004E2E14" w:rsidRDefault="001D12B5" w:rsidP="001D12B5">
      <w:pPr>
        <w:pStyle w:val="Textonotapie"/>
        <w:ind w:left="567"/>
        <w:jc w:val="both"/>
        <w:rPr>
          <w:rFonts w:ascii="Times New Roman" w:hAnsi="Times New Roman" w:cs="Times New Roman"/>
          <w:sz w:val="24"/>
          <w:szCs w:val="24"/>
        </w:rPr>
      </w:pPr>
      <w:r>
        <w:rPr>
          <w:rFonts w:ascii="Times New Roman" w:hAnsi="Times New Roman" w:cs="Times New Roman"/>
          <w:sz w:val="24"/>
          <w:szCs w:val="24"/>
        </w:rPr>
        <w:t>-</w:t>
      </w:r>
      <w:r w:rsidR="00106536" w:rsidRPr="004E2E14">
        <w:rPr>
          <w:rFonts w:ascii="Times New Roman" w:hAnsi="Times New Roman" w:cs="Times New Roman"/>
          <w:sz w:val="24"/>
          <w:szCs w:val="24"/>
        </w:rPr>
        <w:t>The Court of Justice and National Courts: A Dialogue Based on Mutual Trust and Judicial Independence, introductory lecture given by the President of the Court of Justice of the European Union during the scientific conference "Application of the European law in jurisprudence,” Supreme Administrative Court of Poland, 19 March 2018.</w:t>
      </w:r>
    </w:p>
    <w:p w14:paraId="0EFF30DD" w14:textId="605D1308"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MAGEN, A. and PECH, L.,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and the European Union», The Handbook on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Chapiter 14, Elgar, 2018, pp. 235-256. </w:t>
      </w:r>
    </w:p>
    <w:p w14:paraId="3CA58DAC" w14:textId="09843DD5"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MANKO, R., </w:t>
      </w:r>
      <w:r w:rsidRPr="004E2E14">
        <w:rPr>
          <w:rFonts w:ascii="Times New Roman" w:hAnsi="Times New Roman" w:cs="Times New Roman"/>
          <w:i/>
          <w:iCs/>
          <w:sz w:val="24"/>
          <w:szCs w:val="24"/>
        </w:rPr>
        <w:t>European Court of Justice case-law on judicial independence</w:t>
      </w:r>
      <w:r w:rsidRPr="004E2E14">
        <w:rPr>
          <w:rFonts w:ascii="Times New Roman" w:hAnsi="Times New Roman" w:cs="Times New Roman"/>
          <w:sz w:val="24"/>
          <w:szCs w:val="24"/>
        </w:rPr>
        <w:t>, European Parliamentary Research Service, July 2021,</w:t>
      </w:r>
      <w:r w:rsidR="0080320A" w:rsidRPr="004E2E14">
        <w:rPr>
          <w:rFonts w:ascii="Times New Roman" w:hAnsi="Times New Roman" w:cs="Times New Roman"/>
          <w:sz w:val="24"/>
          <w:szCs w:val="24"/>
        </w:rPr>
        <w:t xml:space="preserve"> available at</w:t>
      </w:r>
    </w:p>
    <w:p w14:paraId="3638E563" w14:textId="3144C768" w:rsidR="00106536" w:rsidRPr="004E2E14" w:rsidRDefault="000D24B1" w:rsidP="001D12B5">
      <w:pPr>
        <w:pStyle w:val="Textonotapie"/>
        <w:ind w:left="567" w:hanging="567"/>
        <w:jc w:val="both"/>
        <w:rPr>
          <w:rFonts w:ascii="Times New Roman" w:hAnsi="Times New Roman" w:cs="Times New Roman"/>
          <w:sz w:val="24"/>
          <w:szCs w:val="24"/>
        </w:rPr>
      </w:pPr>
      <w:hyperlink r:id="rId9" w:history="1">
        <w:r w:rsidR="005B6E06" w:rsidRPr="004E2E14">
          <w:rPr>
            <w:rStyle w:val="Hipervnculo"/>
            <w:rFonts w:ascii="Times New Roman" w:hAnsi="Times New Roman" w:cs="Times New Roman"/>
            <w:sz w:val="24"/>
            <w:szCs w:val="24"/>
          </w:rPr>
          <w:t>https://www.europarl.europa.eu/RegData/etudes/BRIE/2021/696173/EPRS_BRI(2021)696173_EN.pdf</w:t>
        </w:r>
      </w:hyperlink>
      <w:r w:rsidR="0080320A" w:rsidRPr="004E2E14">
        <w:rPr>
          <w:rFonts w:ascii="Times New Roman" w:hAnsi="Times New Roman" w:cs="Times New Roman"/>
          <w:sz w:val="24"/>
          <w:szCs w:val="24"/>
        </w:rPr>
        <w:t>;</w:t>
      </w:r>
    </w:p>
    <w:p w14:paraId="0EC47625" w14:textId="74355263" w:rsidR="005B6E06" w:rsidRPr="004E2E14" w:rsidRDefault="001D12B5" w:rsidP="001D12B5">
      <w:pPr>
        <w:pStyle w:val="Textonotapie"/>
        <w:ind w:left="567"/>
        <w:jc w:val="both"/>
        <w:rPr>
          <w:rFonts w:ascii="Times New Roman" w:hAnsi="Times New Roman" w:cs="Times New Roman"/>
          <w:sz w:val="24"/>
          <w:szCs w:val="24"/>
        </w:rPr>
      </w:pPr>
      <w:r>
        <w:rPr>
          <w:rFonts w:ascii="Times New Roman" w:hAnsi="Times New Roman" w:cs="Times New Roman"/>
          <w:i/>
          <w:iCs/>
          <w:sz w:val="24"/>
          <w:szCs w:val="24"/>
        </w:rPr>
        <w:t>-</w:t>
      </w:r>
      <w:r w:rsidR="005B6E06" w:rsidRPr="004E2E14">
        <w:rPr>
          <w:rFonts w:ascii="Times New Roman" w:hAnsi="Times New Roman" w:cs="Times New Roman"/>
          <w:i/>
          <w:iCs/>
          <w:sz w:val="24"/>
          <w:szCs w:val="24"/>
        </w:rPr>
        <w:t>Council of Europe standards on judicial independence</w:t>
      </w:r>
      <w:r w:rsidR="005B6E06" w:rsidRPr="004E2E14">
        <w:rPr>
          <w:rFonts w:ascii="Times New Roman" w:hAnsi="Times New Roman" w:cs="Times New Roman"/>
          <w:sz w:val="24"/>
          <w:szCs w:val="24"/>
        </w:rPr>
        <w:t xml:space="preserve">, European Parliamentary Research Service, May 2021, </w:t>
      </w:r>
      <w:r w:rsidR="0080320A" w:rsidRPr="004E2E14">
        <w:rPr>
          <w:rFonts w:ascii="Times New Roman" w:hAnsi="Times New Roman" w:cs="Times New Roman"/>
          <w:sz w:val="24"/>
          <w:szCs w:val="24"/>
        </w:rPr>
        <w:t xml:space="preserve">available at </w:t>
      </w:r>
      <w:r w:rsidR="00AE175D" w:rsidRPr="004E2E14">
        <w:rPr>
          <w:rFonts w:ascii="Times New Roman" w:hAnsi="Times New Roman" w:cs="Times New Roman"/>
          <w:sz w:val="24"/>
          <w:szCs w:val="24"/>
        </w:rPr>
        <w:t>https://www.europarl.europa.eu/thinktank/en/document/EPRS_BRI(2021)690623.</w:t>
      </w:r>
    </w:p>
    <w:p w14:paraId="328A932B" w14:textId="3CA6844B" w:rsidR="00106536" w:rsidRPr="004E2E14" w:rsidRDefault="001D12B5" w:rsidP="001D12B5">
      <w:pPr>
        <w:pStyle w:val="Textonotapie"/>
        <w:ind w:left="567"/>
        <w:jc w:val="both"/>
        <w:rPr>
          <w:rFonts w:ascii="Times New Roman" w:hAnsi="Times New Roman" w:cs="Times New Roman"/>
          <w:sz w:val="24"/>
          <w:szCs w:val="24"/>
        </w:rPr>
      </w:pPr>
      <w:r>
        <w:rPr>
          <w:rFonts w:ascii="Times New Roman" w:hAnsi="Times New Roman" w:cs="Times New Roman"/>
          <w:i/>
          <w:iCs/>
          <w:sz w:val="24"/>
          <w:szCs w:val="24"/>
        </w:rPr>
        <w:t>-</w:t>
      </w:r>
      <w:r w:rsidR="00106536" w:rsidRPr="004E2E14">
        <w:rPr>
          <w:rFonts w:ascii="Times New Roman" w:hAnsi="Times New Roman" w:cs="Times New Roman"/>
          <w:i/>
          <w:iCs/>
          <w:sz w:val="24"/>
          <w:szCs w:val="24"/>
        </w:rPr>
        <w:t xml:space="preserve">Protecting the </w:t>
      </w:r>
      <w:r w:rsidR="00062F6C">
        <w:rPr>
          <w:rFonts w:ascii="Times New Roman" w:hAnsi="Times New Roman" w:cs="Times New Roman"/>
          <w:i/>
          <w:iCs/>
          <w:sz w:val="24"/>
          <w:szCs w:val="24"/>
        </w:rPr>
        <w:t>Rule of Law</w:t>
      </w:r>
      <w:r w:rsidR="00106536" w:rsidRPr="004E2E14">
        <w:rPr>
          <w:rFonts w:ascii="Times New Roman" w:hAnsi="Times New Roman" w:cs="Times New Roman"/>
          <w:i/>
          <w:iCs/>
          <w:sz w:val="24"/>
          <w:szCs w:val="24"/>
        </w:rPr>
        <w:t xml:space="preserve"> in the EU. Existing mechanisms and possible improvements</w:t>
      </w:r>
      <w:r w:rsidR="00106536" w:rsidRPr="004E2E14">
        <w:rPr>
          <w:rFonts w:ascii="Times New Roman" w:hAnsi="Times New Roman" w:cs="Times New Roman"/>
          <w:sz w:val="24"/>
          <w:szCs w:val="24"/>
        </w:rPr>
        <w:t xml:space="preserve">, European Parliamentary Research Service, November 2019, </w:t>
      </w:r>
      <w:r w:rsidR="0080320A" w:rsidRPr="004E2E14">
        <w:rPr>
          <w:rFonts w:ascii="Times New Roman" w:hAnsi="Times New Roman" w:cs="Times New Roman"/>
          <w:sz w:val="24"/>
          <w:szCs w:val="24"/>
        </w:rPr>
        <w:t xml:space="preserve">available at </w:t>
      </w:r>
      <w:hyperlink r:id="rId10" w:history="1">
        <w:r w:rsidR="0080320A" w:rsidRPr="004E2E14">
          <w:rPr>
            <w:rStyle w:val="Hipervnculo"/>
            <w:rFonts w:ascii="Times New Roman" w:hAnsi="Times New Roman" w:cs="Times New Roman"/>
            <w:sz w:val="24"/>
            <w:szCs w:val="24"/>
          </w:rPr>
          <w:t>https://www.europarl.europa.eu/RegData/etudes/BRIE/2019/642280/EPRS_BRI(2019)642280_EN.pdf</w:t>
        </w:r>
      </w:hyperlink>
      <w:r w:rsidR="0080320A" w:rsidRPr="004E2E14">
        <w:rPr>
          <w:rStyle w:val="Hipervnculo"/>
          <w:rFonts w:ascii="Times New Roman" w:hAnsi="Times New Roman" w:cs="Times New Roman"/>
          <w:sz w:val="24"/>
          <w:szCs w:val="24"/>
        </w:rPr>
        <w:t>.</w:t>
      </w:r>
    </w:p>
    <w:p w14:paraId="700E3140" w14:textId="77777777"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MASTRACCI, M., «Judicial Independence: European Standards, ECtHR Criteria and the Reshuffling Plan of the Judiciary Bodies in Poland», </w:t>
      </w:r>
      <w:r w:rsidRPr="004E2E14">
        <w:rPr>
          <w:rFonts w:ascii="Times New Roman" w:hAnsi="Times New Roman" w:cs="Times New Roman"/>
          <w:i/>
          <w:iCs/>
          <w:sz w:val="24"/>
          <w:szCs w:val="24"/>
        </w:rPr>
        <w:t>Athens Journal of Law</w:t>
      </w:r>
      <w:r w:rsidRPr="004E2E14">
        <w:rPr>
          <w:rFonts w:ascii="Times New Roman" w:hAnsi="Times New Roman" w:cs="Times New Roman"/>
          <w:sz w:val="24"/>
          <w:szCs w:val="24"/>
        </w:rPr>
        <w:t>, vol. 5, issue 3, pp. 323-350.</w:t>
      </w:r>
    </w:p>
    <w:p w14:paraId="70342F3A" w14:textId="78FE13B5"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MOLITERNO, J. and CUROS, P., «Recent Attacks on Judicial Independence: The Vulgar, the Systemic, and the Insidious», </w:t>
      </w:r>
      <w:r w:rsidRPr="004E2E14">
        <w:rPr>
          <w:rFonts w:ascii="Times New Roman" w:hAnsi="Times New Roman" w:cs="Times New Roman"/>
          <w:i/>
          <w:iCs/>
          <w:sz w:val="24"/>
          <w:szCs w:val="24"/>
        </w:rPr>
        <w:t>German Law Journal</w:t>
      </w:r>
      <w:r w:rsidRPr="004E2E14">
        <w:rPr>
          <w:rFonts w:ascii="Times New Roman" w:hAnsi="Times New Roman" w:cs="Times New Roman"/>
          <w:sz w:val="24"/>
          <w:szCs w:val="24"/>
        </w:rPr>
        <w:t xml:space="preserve"> (2021), 22, pp. 1159-1191.</w:t>
      </w:r>
    </w:p>
    <w:p w14:paraId="5E7CAF8C" w14:textId="6A1F88D1" w:rsidR="003C4579" w:rsidRPr="004E2E14" w:rsidRDefault="00BD6A6F"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PECH, L., </w:t>
      </w:r>
      <w:r w:rsidR="003C4579" w:rsidRPr="004E2E14">
        <w:rPr>
          <w:rFonts w:ascii="Times New Roman" w:hAnsi="Times New Roman" w:cs="Times New Roman"/>
          <w:sz w:val="24"/>
          <w:szCs w:val="24"/>
        </w:rPr>
        <w:t xml:space="preserve">«The </w:t>
      </w:r>
      <w:r w:rsidR="00062F6C">
        <w:rPr>
          <w:rFonts w:ascii="Times New Roman" w:hAnsi="Times New Roman" w:cs="Times New Roman"/>
          <w:sz w:val="24"/>
          <w:szCs w:val="24"/>
        </w:rPr>
        <w:t>Rule of Law</w:t>
      </w:r>
      <w:r w:rsidR="003C4579" w:rsidRPr="004E2E14">
        <w:rPr>
          <w:rFonts w:ascii="Times New Roman" w:hAnsi="Times New Roman" w:cs="Times New Roman"/>
          <w:sz w:val="24"/>
          <w:szCs w:val="24"/>
        </w:rPr>
        <w:t xml:space="preserve"> as a Well-Established and Well-Defined Principle of EU Law», </w:t>
      </w:r>
      <w:r w:rsidR="003C4579" w:rsidRPr="004E2E14">
        <w:rPr>
          <w:rFonts w:ascii="Times New Roman" w:hAnsi="Times New Roman" w:cs="Times New Roman"/>
          <w:i/>
          <w:iCs/>
          <w:sz w:val="24"/>
          <w:szCs w:val="24"/>
        </w:rPr>
        <w:t xml:space="preserve">Hague Journal on the </w:t>
      </w:r>
      <w:r w:rsidR="00062F6C">
        <w:rPr>
          <w:rFonts w:ascii="Times New Roman" w:hAnsi="Times New Roman" w:cs="Times New Roman"/>
          <w:i/>
          <w:iCs/>
          <w:sz w:val="24"/>
          <w:szCs w:val="24"/>
        </w:rPr>
        <w:t>Rule of Law</w:t>
      </w:r>
      <w:r w:rsidR="003C4579" w:rsidRPr="004E2E14">
        <w:rPr>
          <w:rFonts w:ascii="Times New Roman" w:hAnsi="Times New Roman" w:cs="Times New Roman"/>
          <w:sz w:val="24"/>
          <w:szCs w:val="24"/>
        </w:rPr>
        <w:t xml:space="preserve">, published online 28 June </w:t>
      </w:r>
      <w:r w:rsidR="00AE175D" w:rsidRPr="004E2E14">
        <w:rPr>
          <w:rFonts w:ascii="Times New Roman" w:hAnsi="Times New Roman" w:cs="Times New Roman"/>
          <w:sz w:val="24"/>
          <w:szCs w:val="24"/>
        </w:rPr>
        <w:t>2022.</w:t>
      </w:r>
      <w:r w:rsidR="003C4579" w:rsidRPr="004E2E14">
        <w:rPr>
          <w:rFonts w:ascii="Times New Roman" w:hAnsi="Times New Roman" w:cs="Times New Roman"/>
          <w:sz w:val="24"/>
          <w:szCs w:val="24"/>
        </w:rPr>
        <w:t xml:space="preserve"> </w:t>
      </w:r>
    </w:p>
    <w:p w14:paraId="7958CA5C" w14:textId="4EA3926E" w:rsidR="00106536" w:rsidRPr="004E2E14" w:rsidRDefault="001D12B5" w:rsidP="001D12B5">
      <w:pPr>
        <w:pStyle w:val="Textonotapie"/>
        <w:ind w:left="567"/>
        <w:jc w:val="both"/>
        <w:rPr>
          <w:rFonts w:ascii="Times New Roman" w:hAnsi="Times New Roman" w:cs="Times New Roman"/>
          <w:sz w:val="24"/>
          <w:szCs w:val="24"/>
        </w:rPr>
      </w:pPr>
      <w:r>
        <w:rPr>
          <w:rFonts w:ascii="Times New Roman" w:hAnsi="Times New Roman" w:cs="Times New Roman"/>
          <w:sz w:val="24"/>
          <w:szCs w:val="24"/>
        </w:rPr>
        <w:lastRenderedPageBreak/>
        <w:t>-</w:t>
      </w:r>
      <w:r w:rsidR="00BD6A6F" w:rsidRPr="004E2E14">
        <w:rPr>
          <w:rFonts w:ascii="Times New Roman" w:hAnsi="Times New Roman" w:cs="Times New Roman"/>
          <w:sz w:val="24"/>
          <w:szCs w:val="24"/>
        </w:rPr>
        <w:t xml:space="preserve">«A Union Founded on the </w:t>
      </w:r>
      <w:r w:rsidR="00062F6C">
        <w:rPr>
          <w:rFonts w:ascii="Times New Roman" w:hAnsi="Times New Roman" w:cs="Times New Roman"/>
          <w:sz w:val="24"/>
          <w:szCs w:val="24"/>
        </w:rPr>
        <w:t>Rule of Law</w:t>
      </w:r>
      <w:r w:rsidR="00BD6A6F" w:rsidRPr="004E2E14">
        <w:rPr>
          <w:rFonts w:ascii="Times New Roman" w:hAnsi="Times New Roman" w:cs="Times New Roman"/>
          <w:sz w:val="24"/>
          <w:szCs w:val="24"/>
        </w:rPr>
        <w:t xml:space="preserve">: Meaning and Reality of the </w:t>
      </w:r>
      <w:r w:rsidR="00062F6C">
        <w:rPr>
          <w:rFonts w:ascii="Times New Roman" w:hAnsi="Times New Roman" w:cs="Times New Roman"/>
          <w:sz w:val="24"/>
          <w:szCs w:val="24"/>
        </w:rPr>
        <w:t>Rule of Law</w:t>
      </w:r>
      <w:r w:rsidR="00BD6A6F" w:rsidRPr="004E2E14">
        <w:rPr>
          <w:rFonts w:ascii="Times New Roman" w:hAnsi="Times New Roman" w:cs="Times New Roman"/>
          <w:sz w:val="24"/>
          <w:szCs w:val="24"/>
        </w:rPr>
        <w:t xml:space="preserve"> as a Constitutional Principle of EU Law», </w:t>
      </w:r>
      <w:r w:rsidR="00BD6A6F" w:rsidRPr="004E2E14">
        <w:rPr>
          <w:rFonts w:ascii="Times New Roman" w:hAnsi="Times New Roman" w:cs="Times New Roman"/>
          <w:i/>
          <w:iCs/>
          <w:sz w:val="24"/>
          <w:szCs w:val="24"/>
        </w:rPr>
        <w:t>European Constitutional Law Review</w:t>
      </w:r>
      <w:r w:rsidR="00BD6A6F" w:rsidRPr="004E2E14">
        <w:rPr>
          <w:rFonts w:ascii="Times New Roman" w:hAnsi="Times New Roman" w:cs="Times New Roman"/>
          <w:sz w:val="24"/>
          <w:szCs w:val="24"/>
        </w:rPr>
        <w:t xml:space="preserve">, Vol. 6, 2010, p. </w:t>
      </w:r>
      <w:r w:rsidR="00D86F4B" w:rsidRPr="004E2E14">
        <w:rPr>
          <w:rFonts w:ascii="Times New Roman" w:hAnsi="Times New Roman" w:cs="Times New Roman"/>
          <w:sz w:val="24"/>
          <w:szCs w:val="24"/>
        </w:rPr>
        <w:t>366.</w:t>
      </w:r>
      <w:r w:rsidR="00BD6A6F" w:rsidRPr="004E2E14">
        <w:rPr>
          <w:rFonts w:ascii="Times New Roman" w:hAnsi="Times New Roman" w:cs="Times New Roman"/>
          <w:sz w:val="24"/>
          <w:szCs w:val="24"/>
        </w:rPr>
        <w:t xml:space="preserve"> </w:t>
      </w:r>
    </w:p>
    <w:p w14:paraId="7CC0C508" w14:textId="572E193B" w:rsidR="00F3264B" w:rsidRPr="004E2E14" w:rsidRDefault="003C4579"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PECH, L.</w:t>
      </w:r>
      <w:r w:rsidR="00F3264B" w:rsidRPr="004E2E14">
        <w:rPr>
          <w:rFonts w:ascii="Times New Roman" w:hAnsi="Times New Roman" w:cs="Times New Roman"/>
          <w:sz w:val="24"/>
          <w:szCs w:val="24"/>
        </w:rPr>
        <w:t xml:space="preserve"> and</w:t>
      </w:r>
      <w:r w:rsidRPr="004E2E14">
        <w:rPr>
          <w:rFonts w:ascii="Times New Roman" w:hAnsi="Times New Roman" w:cs="Times New Roman"/>
          <w:sz w:val="24"/>
          <w:szCs w:val="24"/>
        </w:rPr>
        <w:t xml:space="preserve"> SCHEPPELE, </w:t>
      </w:r>
      <w:r w:rsidR="00F3264B" w:rsidRPr="004E2E14">
        <w:rPr>
          <w:rFonts w:ascii="Times New Roman" w:hAnsi="Times New Roman" w:cs="Times New Roman"/>
          <w:sz w:val="24"/>
          <w:szCs w:val="24"/>
        </w:rPr>
        <w:t>K</w:t>
      </w:r>
      <w:r w:rsidRPr="004E2E14">
        <w:rPr>
          <w:rFonts w:ascii="Times New Roman" w:hAnsi="Times New Roman" w:cs="Times New Roman"/>
          <w:sz w:val="24"/>
          <w:szCs w:val="24"/>
        </w:rPr>
        <w:t>.</w:t>
      </w:r>
      <w:r w:rsidR="0080320A" w:rsidRPr="004E2E14">
        <w:rPr>
          <w:rFonts w:ascii="Times New Roman" w:hAnsi="Times New Roman" w:cs="Times New Roman"/>
          <w:sz w:val="24"/>
          <w:szCs w:val="24"/>
        </w:rPr>
        <w:t>,</w:t>
      </w:r>
      <w:r w:rsidR="006E5C1B" w:rsidRPr="004E2E14">
        <w:rPr>
          <w:rFonts w:ascii="Times New Roman" w:hAnsi="Times New Roman" w:cs="Times New Roman"/>
          <w:sz w:val="24"/>
          <w:szCs w:val="24"/>
        </w:rPr>
        <w:t xml:space="preserve"> </w:t>
      </w:r>
      <w:r w:rsidR="0080320A" w:rsidRPr="004E2E14">
        <w:rPr>
          <w:rFonts w:ascii="Times New Roman" w:hAnsi="Times New Roman" w:cs="Times New Roman"/>
          <w:sz w:val="24"/>
          <w:szCs w:val="24"/>
        </w:rPr>
        <w:t>«</w:t>
      </w:r>
      <w:r w:rsidR="00F3264B" w:rsidRPr="004E2E14">
        <w:rPr>
          <w:rFonts w:ascii="Times New Roman" w:hAnsi="Times New Roman" w:cs="Times New Roman"/>
          <w:sz w:val="24"/>
          <w:szCs w:val="24"/>
        </w:rPr>
        <w:t xml:space="preserve">Illiberalism Within: </w:t>
      </w:r>
      <w:r w:rsidR="00062F6C">
        <w:rPr>
          <w:rFonts w:ascii="Times New Roman" w:hAnsi="Times New Roman" w:cs="Times New Roman"/>
          <w:sz w:val="24"/>
          <w:szCs w:val="24"/>
        </w:rPr>
        <w:t>Rule of Law</w:t>
      </w:r>
      <w:r w:rsidR="00F3264B" w:rsidRPr="004E2E14">
        <w:rPr>
          <w:rFonts w:ascii="Times New Roman" w:hAnsi="Times New Roman" w:cs="Times New Roman"/>
          <w:sz w:val="24"/>
          <w:szCs w:val="24"/>
        </w:rPr>
        <w:t xml:space="preserve"> Backsliding in the EU</w:t>
      </w:r>
      <w:r w:rsidR="0080320A" w:rsidRPr="004E2E14">
        <w:rPr>
          <w:rFonts w:ascii="Times New Roman" w:hAnsi="Times New Roman" w:cs="Times New Roman"/>
          <w:sz w:val="24"/>
          <w:szCs w:val="24"/>
        </w:rPr>
        <w:t>»,</w:t>
      </w:r>
      <w:r w:rsidR="00F3264B" w:rsidRPr="004E2E14">
        <w:rPr>
          <w:rFonts w:ascii="Times New Roman" w:hAnsi="Times New Roman" w:cs="Times New Roman"/>
          <w:sz w:val="24"/>
          <w:szCs w:val="24"/>
        </w:rPr>
        <w:t xml:space="preserve"> </w:t>
      </w:r>
      <w:r w:rsidR="00F3264B" w:rsidRPr="004E2E14">
        <w:rPr>
          <w:rFonts w:ascii="Times New Roman" w:hAnsi="Times New Roman" w:cs="Times New Roman"/>
          <w:i/>
          <w:iCs/>
          <w:sz w:val="24"/>
          <w:szCs w:val="24"/>
        </w:rPr>
        <w:t>Cambridge Yearbook of European Legal Studies</w:t>
      </w:r>
      <w:r w:rsidR="0080320A" w:rsidRPr="004E2E14">
        <w:rPr>
          <w:rFonts w:ascii="Times New Roman" w:hAnsi="Times New Roman" w:cs="Times New Roman"/>
          <w:i/>
          <w:iCs/>
          <w:sz w:val="24"/>
          <w:szCs w:val="24"/>
        </w:rPr>
        <w:t>,</w:t>
      </w:r>
      <w:r w:rsidR="00F3264B" w:rsidRPr="004E2E14">
        <w:rPr>
          <w:rFonts w:ascii="Times New Roman" w:hAnsi="Times New Roman" w:cs="Times New Roman"/>
          <w:sz w:val="24"/>
          <w:szCs w:val="24"/>
        </w:rPr>
        <w:t xml:space="preserve"> 19, 2017, </w:t>
      </w:r>
      <w:r w:rsidR="00987497" w:rsidRPr="004E2E14">
        <w:rPr>
          <w:rFonts w:ascii="Times New Roman" w:hAnsi="Times New Roman" w:cs="Times New Roman"/>
          <w:sz w:val="24"/>
          <w:szCs w:val="24"/>
        </w:rPr>
        <w:t xml:space="preserve">pp. </w:t>
      </w:r>
      <w:r w:rsidR="00F3264B" w:rsidRPr="004E2E14">
        <w:rPr>
          <w:rFonts w:ascii="Times New Roman" w:hAnsi="Times New Roman" w:cs="Times New Roman"/>
          <w:sz w:val="24"/>
          <w:szCs w:val="24"/>
        </w:rPr>
        <w:t>3-47</w:t>
      </w:r>
      <w:r w:rsidR="0080320A" w:rsidRPr="004E2E14">
        <w:rPr>
          <w:rFonts w:ascii="Times New Roman" w:hAnsi="Times New Roman" w:cs="Times New Roman"/>
          <w:sz w:val="24"/>
          <w:szCs w:val="24"/>
        </w:rPr>
        <w:t>.</w:t>
      </w:r>
      <w:r w:rsidR="00F3264B" w:rsidRPr="004E2E14">
        <w:rPr>
          <w:rFonts w:ascii="Times New Roman" w:hAnsi="Times New Roman" w:cs="Times New Roman"/>
          <w:sz w:val="24"/>
          <w:szCs w:val="24"/>
        </w:rPr>
        <w:t xml:space="preserve"> </w:t>
      </w:r>
    </w:p>
    <w:p w14:paraId="389585E8" w14:textId="497EB800"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PIROZZI, N. and BONOMI, M., «Governing Differentiation and Integration in the European Union: Patterns, Effectiveness ang Legitimacy», </w:t>
      </w:r>
      <w:r w:rsidRPr="004E2E14">
        <w:rPr>
          <w:rFonts w:ascii="Times New Roman" w:hAnsi="Times New Roman" w:cs="Times New Roman"/>
          <w:i/>
          <w:iCs/>
          <w:sz w:val="24"/>
          <w:szCs w:val="24"/>
        </w:rPr>
        <w:t xml:space="preserve">The International Spectator, </w:t>
      </w:r>
      <w:r w:rsidRPr="004E2E14">
        <w:rPr>
          <w:rFonts w:ascii="Times New Roman" w:hAnsi="Times New Roman" w:cs="Times New Roman"/>
          <w:sz w:val="24"/>
          <w:szCs w:val="24"/>
        </w:rPr>
        <w:t>57:</w:t>
      </w:r>
      <w:r w:rsidRPr="004E2E14">
        <w:rPr>
          <w:rFonts w:ascii="Times New Roman" w:hAnsi="Times New Roman" w:cs="Times New Roman"/>
          <w:i/>
          <w:iCs/>
          <w:sz w:val="24"/>
          <w:szCs w:val="24"/>
        </w:rPr>
        <w:t xml:space="preserve"> </w:t>
      </w:r>
      <w:r w:rsidRPr="004E2E14">
        <w:rPr>
          <w:rFonts w:ascii="Times New Roman" w:hAnsi="Times New Roman" w:cs="Times New Roman"/>
          <w:sz w:val="24"/>
          <w:szCs w:val="24"/>
        </w:rPr>
        <w:t>1, 2022.</w:t>
      </w:r>
    </w:p>
    <w:p w14:paraId="1C77B9F4" w14:textId="4EAE488A" w:rsidR="00106536" w:rsidRPr="004E2E14" w:rsidRDefault="003C4579"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REDING</w:t>
      </w:r>
      <w:r w:rsidR="00F3264B" w:rsidRPr="004E2E14">
        <w:rPr>
          <w:rFonts w:ascii="Times New Roman" w:hAnsi="Times New Roman" w:cs="Times New Roman"/>
          <w:sz w:val="24"/>
          <w:szCs w:val="24"/>
        </w:rPr>
        <w:t>,</w:t>
      </w:r>
      <w:r w:rsidRPr="004E2E14">
        <w:rPr>
          <w:rFonts w:ascii="Times New Roman" w:hAnsi="Times New Roman" w:cs="Times New Roman"/>
          <w:sz w:val="24"/>
          <w:szCs w:val="24"/>
        </w:rPr>
        <w:t xml:space="preserve"> V.,</w:t>
      </w:r>
      <w:r w:rsidR="0080320A" w:rsidRPr="004E2E14">
        <w:rPr>
          <w:rFonts w:ascii="Times New Roman" w:hAnsi="Times New Roman" w:cs="Times New Roman"/>
          <w:sz w:val="24"/>
          <w:szCs w:val="24"/>
        </w:rPr>
        <w:t xml:space="preserve"> </w:t>
      </w:r>
      <w:r w:rsidR="00F3264B" w:rsidRPr="004E2E14">
        <w:rPr>
          <w:rFonts w:ascii="Times New Roman" w:hAnsi="Times New Roman" w:cs="Times New Roman"/>
          <w:i/>
          <w:iCs/>
          <w:sz w:val="24"/>
          <w:szCs w:val="24"/>
        </w:rPr>
        <w:t xml:space="preserve">The EU and the </w:t>
      </w:r>
      <w:r w:rsidR="00062F6C">
        <w:rPr>
          <w:rFonts w:ascii="Times New Roman" w:hAnsi="Times New Roman" w:cs="Times New Roman"/>
          <w:i/>
          <w:iCs/>
          <w:sz w:val="24"/>
          <w:szCs w:val="24"/>
        </w:rPr>
        <w:t>Rule of Law</w:t>
      </w:r>
      <w:r w:rsidR="00F3264B" w:rsidRPr="004E2E14">
        <w:rPr>
          <w:rFonts w:ascii="Times New Roman" w:hAnsi="Times New Roman" w:cs="Times New Roman"/>
          <w:i/>
          <w:iCs/>
          <w:sz w:val="24"/>
          <w:szCs w:val="24"/>
        </w:rPr>
        <w:t xml:space="preserve"> – What next?</w:t>
      </w:r>
      <w:r w:rsidR="00F3264B" w:rsidRPr="004E2E14">
        <w:rPr>
          <w:rFonts w:ascii="Times New Roman" w:hAnsi="Times New Roman" w:cs="Times New Roman"/>
          <w:sz w:val="24"/>
          <w:szCs w:val="24"/>
        </w:rPr>
        <w:t xml:space="preserve"> Speech, 4 September 2013,</w:t>
      </w:r>
      <w:r w:rsidR="0080320A" w:rsidRPr="004E2E14">
        <w:rPr>
          <w:rFonts w:ascii="Times New Roman" w:hAnsi="Times New Roman" w:cs="Times New Roman"/>
          <w:sz w:val="24"/>
          <w:szCs w:val="24"/>
        </w:rPr>
        <w:t xml:space="preserve"> available at </w:t>
      </w:r>
      <w:hyperlink r:id="rId11" w:history="1">
        <w:r w:rsidR="0080320A" w:rsidRPr="004E2E14">
          <w:rPr>
            <w:rStyle w:val="Hipervnculo"/>
            <w:rFonts w:ascii="Times New Roman" w:hAnsi="Times New Roman" w:cs="Times New Roman"/>
            <w:sz w:val="24"/>
            <w:szCs w:val="24"/>
          </w:rPr>
          <w:t>http://europa.eu/rapid/pressrelease_SPEECH-13-677_en.htm</w:t>
        </w:r>
      </w:hyperlink>
      <w:r w:rsidR="0080320A" w:rsidRPr="004E2E14">
        <w:rPr>
          <w:rFonts w:ascii="Times New Roman" w:hAnsi="Times New Roman" w:cs="Times New Roman"/>
          <w:sz w:val="24"/>
          <w:szCs w:val="24"/>
        </w:rPr>
        <w:t>.</w:t>
      </w:r>
    </w:p>
    <w:p w14:paraId="6E6248AA" w14:textId="0134A313" w:rsidR="00106536" w:rsidRPr="004E2E14" w:rsidRDefault="003C4579"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RUSSEL</w:t>
      </w:r>
      <w:r w:rsidR="00106536" w:rsidRPr="004E2E14">
        <w:rPr>
          <w:rFonts w:ascii="Times New Roman" w:hAnsi="Times New Roman" w:cs="Times New Roman"/>
          <w:sz w:val="24"/>
          <w:szCs w:val="24"/>
        </w:rPr>
        <w:t>,</w:t>
      </w:r>
      <w:r w:rsidRPr="004E2E14">
        <w:rPr>
          <w:rFonts w:ascii="Times New Roman" w:hAnsi="Times New Roman" w:cs="Times New Roman"/>
          <w:sz w:val="24"/>
          <w:szCs w:val="24"/>
        </w:rPr>
        <w:t xml:space="preserve"> P.,</w:t>
      </w:r>
      <w:r w:rsidR="00106536" w:rsidRPr="004E2E14">
        <w:rPr>
          <w:rFonts w:ascii="Times New Roman" w:hAnsi="Times New Roman" w:cs="Times New Roman"/>
          <w:sz w:val="24"/>
          <w:szCs w:val="24"/>
        </w:rPr>
        <w:t xml:space="preserve"> «Towards a General Theory of Judicial Independence», in RUSSEL, P.H. and O’BRIEN, D.M., </w:t>
      </w:r>
      <w:r w:rsidR="00106536" w:rsidRPr="004E2E14">
        <w:rPr>
          <w:rFonts w:ascii="Times New Roman" w:hAnsi="Times New Roman" w:cs="Times New Roman"/>
          <w:i/>
          <w:iCs/>
          <w:sz w:val="24"/>
          <w:szCs w:val="24"/>
        </w:rPr>
        <w:t>Judicial Independence in the Age of Democracy: Critical Perspectives from Around the World</w:t>
      </w:r>
      <w:r w:rsidR="00106536" w:rsidRPr="004E2E14">
        <w:rPr>
          <w:rFonts w:ascii="Times New Roman" w:hAnsi="Times New Roman" w:cs="Times New Roman"/>
          <w:sz w:val="24"/>
          <w:szCs w:val="24"/>
        </w:rPr>
        <w:t>, Charlottesville, VA, University Press of Virginia, 2001, pp. 1 ss.</w:t>
      </w:r>
    </w:p>
    <w:p w14:paraId="13D54FDF" w14:textId="77777777" w:rsidR="00F3264B" w:rsidRDefault="00F3264B"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SADURSKI, W., «How Democracy Dies (in Poland): A Case Study of an Anti-Constitutional Populist Backsliding», </w:t>
      </w:r>
      <w:r w:rsidRPr="004E2E14">
        <w:rPr>
          <w:rFonts w:ascii="Times New Roman" w:hAnsi="Times New Roman" w:cs="Times New Roman"/>
          <w:i/>
          <w:iCs/>
          <w:sz w:val="24"/>
          <w:szCs w:val="24"/>
        </w:rPr>
        <w:t>Revista Forumul Judecatorilor</w:t>
      </w:r>
      <w:r w:rsidRPr="004E2E14">
        <w:rPr>
          <w:rFonts w:ascii="Times New Roman" w:hAnsi="Times New Roman" w:cs="Times New Roman"/>
          <w:sz w:val="24"/>
          <w:szCs w:val="24"/>
        </w:rPr>
        <w:t>, vol. 2018, no. 1, pp. 104-178.</w:t>
      </w:r>
    </w:p>
    <w:p w14:paraId="3AF4E8D5" w14:textId="19E19B36" w:rsidR="00A06821" w:rsidRPr="004E2E14" w:rsidRDefault="00A06821" w:rsidP="001D12B5">
      <w:pPr>
        <w:pStyle w:val="Textonotapie"/>
        <w:ind w:left="567" w:hanging="567"/>
        <w:jc w:val="both"/>
        <w:rPr>
          <w:rFonts w:ascii="Times New Roman" w:hAnsi="Times New Roman" w:cs="Times New Roman"/>
          <w:sz w:val="24"/>
          <w:szCs w:val="24"/>
        </w:rPr>
      </w:pPr>
      <w:r w:rsidRPr="00A06821">
        <w:rPr>
          <w:rFonts w:ascii="Times New Roman" w:hAnsi="Times New Roman" w:cs="Times New Roman"/>
          <w:sz w:val="24"/>
          <w:szCs w:val="24"/>
        </w:rPr>
        <w:t xml:space="preserve">SANZ-CABALLERO, S., «Justice as the key component of the </w:t>
      </w:r>
      <w:r w:rsidR="00062F6C">
        <w:rPr>
          <w:rFonts w:ascii="Times New Roman" w:hAnsi="Times New Roman" w:cs="Times New Roman"/>
          <w:sz w:val="24"/>
          <w:szCs w:val="24"/>
        </w:rPr>
        <w:t>Rule of Law</w:t>
      </w:r>
      <w:r w:rsidRPr="00A06821">
        <w:rPr>
          <w:rFonts w:ascii="Times New Roman" w:hAnsi="Times New Roman" w:cs="Times New Roman"/>
          <w:sz w:val="24"/>
          <w:szCs w:val="24"/>
        </w:rPr>
        <w:t xml:space="preserve">: the state of play in Europe», </w:t>
      </w:r>
      <w:r w:rsidRPr="00A06821">
        <w:rPr>
          <w:rFonts w:ascii="Times New Roman" w:hAnsi="Times New Roman" w:cs="Times New Roman"/>
          <w:i/>
          <w:iCs/>
          <w:sz w:val="24"/>
          <w:szCs w:val="24"/>
        </w:rPr>
        <w:t>Europske vrijednosti KB</w:t>
      </w:r>
      <w:r w:rsidRPr="00A06821">
        <w:rPr>
          <w:rFonts w:ascii="Times New Roman" w:hAnsi="Times New Roman" w:cs="Times New Roman"/>
          <w:sz w:val="24"/>
          <w:szCs w:val="24"/>
        </w:rPr>
        <w:t>.indb, 61, pp. 61-77.</w:t>
      </w:r>
    </w:p>
    <w:p w14:paraId="2967B5E3" w14:textId="75055B45" w:rsidR="00BD6A6F" w:rsidRPr="004E2E14" w:rsidRDefault="00BD6A6F"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SCHROEDER, W.,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as a Value in the Sense of Article 2 TEU: What Does It Mean and Imply?», in VON BOGDANDY, A., et </w:t>
      </w:r>
      <w:r w:rsidRPr="004E2E14">
        <w:rPr>
          <w:rFonts w:ascii="Times New Roman" w:hAnsi="Times New Roman" w:cs="Times New Roman"/>
          <w:i/>
          <w:iCs/>
          <w:sz w:val="24"/>
          <w:szCs w:val="24"/>
        </w:rPr>
        <w:t>al.</w:t>
      </w:r>
      <w:r w:rsidRPr="004E2E14">
        <w:rPr>
          <w:rFonts w:ascii="Times New Roman" w:hAnsi="Times New Roman" w:cs="Times New Roman"/>
          <w:sz w:val="24"/>
          <w:szCs w:val="24"/>
        </w:rPr>
        <w:t xml:space="preserve"> (Eds), </w:t>
      </w:r>
      <w:r w:rsidRPr="004E2E14">
        <w:rPr>
          <w:rFonts w:ascii="Times New Roman" w:hAnsi="Times New Roman" w:cs="Times New Roman"/>
          <w:i/>
          <w:iCs/>
          <w:sz w:val="24"/>
          <w:szCs w:val="24"/>
        </w:rPr>
        <w:t xml:space="preserve">Defending Checks and Balances in EU </w:t>
      </w:r>
      <w:r w:rsidR="00062F6C">
        <w:rPr>
          <w:rFonts w:ascii="Times New Roman" w:hAnsi="Times New Roman" w:cs="Times New Roman"/>
          <w:i/>
          <w:iCs/>
          <w:sz w:val="24"/>
          <w:szCs w:val="24"/>
        </w:rPr>
        <w:t>Member States</w:t>
      </w:r>
      <w:r w:rsidRPr="004E2E14">
        <w:rPr>
          <w:rFonts w:ascii="Times New Roman" w:hAnsi="Times New Roman" w:cs="Times New Roman"/>
          <w:sz w:val="24"/>
          <w:szCs w:val="24"/>
        </w:rPr>
        <w:t>, Springer 2021.</w:t>
      </w:r>
    </w:p>
    <w:p w14:paraId="7170F402" w14:textId="186E40B8" w:rsidR="00F3264B" w:rsidRPr="004E2E14" w:rsidRDefault="003C4579"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SHAPIRO, M.,</w:t>
      </w:r>
      <w:r w:rsidR="00F3264B" w:rsidRPr="004E2E14">
        <w:rPr>
          <w:rFonts w:ascii="Times New Roman" w:hAnsi="Times New Roman" w:cs="Times New Roman"/>
          <w:sz w:val="24"/>
          <w:szCs w:val="24"/>
        </w:rPr>
        <w:t xml:space="preserve"> «Judicial Independence: New Challenges in Established Nations», </w:t>
      </w:r>
      <w:r w:rsidR="00F3264B" w:rsidRPr="004E2E14">
        <w:rPr>
          <w:rFonts w:ascii="Times New Roman" w:hAnsi="Times New Roman" w:cs="Times New Roman"/>
          <w:i/>
          <w:iCs/>
          <w:sz w:val="24"/>
          <w:szCs w:val="24"/>
        </w:rPr>
        <w:t>Indiana Journal of Global Legal Studies</w:t>
      </w:r>
      <w:r w:rsidR="00F3264B" w:rsidRPr="004E2E14">
        <w:rPr>
          <w:rFonts w:ascii="Times New Roman" w:hAnsi="Times New Roman" w:cs="Times New Roman"/>
          <w:sz w:val="24"/>
          <w:szCs w:val="24"/>
        </w:rPr>
        <w:t>, 20 no. 1 (2013): 253-277.</w:t>
      </w:r>
    </w:p>
    <w:p w14:paraId="7C714A94" w14:textId="55E10918" w:rsidR="00F3264B" w:rsidRPr="004E2E14" w:rsidRDefault="00F3264B"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SZENTE, </w:t>
      </w:r>
      <w:r w:rsidRPr="004E2E14">
        <w:rPr>
          <w:rFonts w:ascii="Times New Roman" w:hAnsi="Times New Roman" w:cs="Times New Roman"/>
          <w:i/>
          <w:iCs/>
          <w:sz w:val="24"/>
          <w:szCs w:val="24"/>
        </w:rPr>
        <w:t>et al</w:t>
      </w:r>
      <w:r w:rsidRPr="004E2E14">
        <w:rPr>
          <w:rFonts w:ascii="Times New Roman" w:hAnsi="Times New Roman" w:cs="Times New Roman"/>
          <w:sz w:val="24"/>
          <w:szCs w:val="24"/>
        </w:rPr>
        <w:t xml:space="preserve">., «The Decline of Constitutional Review in Hungary – Towards a Partisan Constitutional Court», </w:t>
      </w:r>
      <w:r w:rsidRPr="004E2E14">
        <w:rPr>
          <w:rFonts w:ascii="Times New Roman" w:hAnsi="Times New Roman" w:cs="Times New Roman"/>
          <w:i/>
          <w:iCs/>
          <w:sz w:val="24"/>
          <w:szCs w:val="24"/>
        </w:rPr>
        <w:t>Challenges and Pitfalls in Recent Hungarian Constitutional Development: Discussing the New Fundamental Law of Hunga</w:t>
      </w:r>
      <w:r w:rsidRPr="004E2E14">
        <w:rPr>
          <w:rFonts w:ascii="Times New Roman" w:hAnsi="Times New Roman" w:cs="Times New Roman"/>
          <w:sz w:val="24"/>
          <w:szCs w:val="24"/>
        </w:rPr>
        <w:t>ry, L’</w:t>
      </w:r>
      <w:r w:rsidR="006E5C1B" w:rsidRPr="004E2E14">
        <w:rPr>
          <w:rFonts w:ascii="Times New Roman" w:hAnsi="Times New Roman" w:cs="Times New Roman"/>
          <w:sz w:val="24"/>
          <w:szCs w:val="24"/>
        </w:rPr>
        <w:t xml:space="preserve"> </w:t>
      </w:r>
      <w:r w:rsidRPr="004E2E14">
        <w:rPr>
          <w:rFonts w:ascii="Times New Roman" w:hAnsi="Times New Roman" w:cs="Times New Roman"/>
          <w:sz w:val="24"/>
          <w:szCs w:val="24"/>
        </w:rPr>
        <w:t>Harmattan, Paris, 2015, pp. 183-208.</w:t>
      </w:r>
    </w:p>
    <w:p w14:paraId="7C7DC80D" w14:textId="2C4F0145" w:rsidR="00196248" w:rsidRPr="004E2E14" w:rsidRDefault="00196248"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TOLLEY</w:t>
      </w:r>
      <w:r w:rsidR="00061A4C" w:rsidRPr="004E2E14">
        <w:rPr>
          <w:rFonts w:ascii="Times New Roman" w:hAnsi="Times New Roman" w:cs="Times New Roman"/>
          <w:sz w:val="24"/>
          <w:szCs w:val="24"/>
        </w:rPr>
        <w:t>, M. C., The Protection of Judicial Independence in Europe: The Roles of the European Court of Human Rights and the Court of Justice of The European Union.</w:t>
      </w:r>
    </w:p>
    <w:p w14:paraId="23244A10" w14:textId="264151CB" w:rsidR="00106536" w:rsidRPr="004E2E14" w:rsidRDefault="00106536"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UITZ, R., The </w:t>
      </w:r>
      <w:r w:rsidR="00062F6C">
        <w:rPr>
          <w:rFonts w:ascii="Times New Roman" w:hAnsi="Times New Roman" w:cs="Times New Roman"/>
          <w:sz w:val="24"/>
          <w:szCs w:val="24"/>
        </w:rPr>
        <w:t>Rule of Law</w:t>
      </w:r>
      <w:r w:rsidRPr="004E2E14">
        <w:rPr>
          <w:rFonts w:ascii="Times New Roman" w:hAnsi="Times New Roman" w:cs="Times New Roman"/>
          <w:sz w:val="24"/>
          <w:szCs w:val="24"/>
        </w:rPr>
        <w:t xml:space="preserve"> in the EU: Crisis – Differentiation – Conditionality, Bridge Network – Working Paper 20, April </w:t>
      </w:r>
      <w:r w:rsidR="00AE175D" w:rsidRPr="004E2E14">
        <w:rPr>
          <w:rFonts w:ascii="Times New Roman" w:hAnsi="Times New Roman" w:cs="Times New Roman"/>
          <w:sz w:val="24"/>
          <w:szCs w:val="24"/>
        </w:rPr>
        <w:t>2022.</w:t>
      </w:r>
    </w:p>
    <w:p w14:paraId="7599AA39" w14:textId="4EB54852" w:rsidR="00106536" w:rsidRPr="004E2E14" w:rsidRDefault="001D12B5" w:rsidP="001D12B5">
      <w:pPr>
        <w:pStyle w:val="Textonotapie"/>
        <w:ind w:left="567"/>
        <w:jc w:val="both"/>
        <w:rPr>
          <w:rFonts w:ascii="Times New Roman" w:hAnsi="Times New Roman" w:cs="Times New Roman"/>
          <w:sz w:val="24"/>
          <w:szCs w:val="24"/>
        </w:rPr>
      </w:pPr>
      <w:r>
        <w:rPr>
          <w:rFonts w:ascii="Times New Roman" w:hAnsi="Times New Roman" w:cs="Times New Roman"/>
          <w:sz w:val="24"/>
          <w:szCs w:val="24"/>
        </w:rPr>
        <w:t>-</w:t>
      </w:r>
      <w:r w:rsidR="00E818E7" w:rsidRPr="004E2E14">
        <w:rPr>
          <w:rFonts w:ascii="Times New Roman" w:hAnsi="Times New Roman" w:cs="Times New Roman"/>
          <w:sz w:val="24"/>
          <w:szCs w:val="24"/>
        </w:rPr>
        <w:t xml:space="preserve">«The Perils of Defending the </w:t>
      </w:r>
      <w:r w:rsidR="00062F6C">
        <w:rPr>
          <w:rFonts w:ascii="Times New Roman" w:hAnsi="Times New Roman" w:cs="Times New Roman"/>
          <w:sz w:val="24"/>
          <w:szCs w:val="24"/>
        </w:rPr>
        <w:t>Rule of Law</w:t>
      </w:r>
      <w:r w:rsidR="00E818E7" w:rsidRPr="004E2E14">
        <w:rPr>
          <w:rFonts w:ascii="Times New Roman" w:hAnsi="Times New Roman" w:cs="Times New Roman"/>
          <w:sz w:val="24"/>
          <w:szCs w:val="24"/>
        </w:rPr>
        <w:t xml:space="preserve"> Through Dialogue», </w:t>
      </w:r>
      <w:r w:rsidR="00E818E7" w:rsidRPr="004E2E14">
        <w:rPr>
          <w:rFonts w:ascii="Times New Roman" w:hAnsi="Times New Roman" w:cs="Times New Roman"/>
          <w:i/>
          <w:iCs/>
          <w:sz w:val="24"/>
          <w:szCs w:val="24"/>
        </w:rPr>
        <w:t>European Constitutional Law Review</w:t>
      </w:r>
      <w:r w:rsidR="00E818E7" w:rsidRPr="004E2E14">
        <w:rPr>
          <w:rFonts w:ascii="Times New Roman" w:hAnsi="Times New Roman" w:cs="Times New Roman"/>
          <w:sz w:val="24"/>
          <w:szCs w:val="24"/>
        </w:rPr>
        <w:t>, 2019/15, pp. 1-16.</w:t>
      </w:r>
    </w:p>
    <w:p w14:paraId="23D97DFA" w14:textId="22127A8E" w:rsidR="00AB6CDE" w:rsidRPr="004E2E14" w:rsidRDefault="00BD6A6F"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 xml:space="preserve">DE WITTE, B., «Variable Geometry and Differentiation as Structural Features of the Legal Order», in DE WITTE, B. </w:t>
      </w:r>
      <w:r w:rsidRPr="004E2E14">
        <w:rPr>
          <w:rFonts w:ascii="Times New Roman" w:hAnsi="Times New Roman" w:cs="Times New Roman"/>
          <w:i/>
          <w:iCs/>
          <w:sz w:val="24"/>
          <w:szCs w:val="24"/>
        </w:rPr>
        <w:t>et al.</w:t>
      </w:r>
      <w:r w:rsidRPr="004E2E14">
        <w:rPr>
          <w:rFonts w:ascii="Times New Roman" w:hAnsi="Times New Roman" w:cs="Times New Roman"/>
          <w:sz w:val="24"/>
          <w:szCs w:val="24"/>
        </w:rPr>
        <w:t xml:space="preserve"> (Eds), </w:t>
      </w:r>
      <w:r w:rsidRPr="004E2E14">
        <w:rPr>
          <w:rFonts w:ascii="Times New Roman" w:hAnsi="Times New Roman" w:cs="Times New Roman"/>
          <w:i/>
          <w:iCs/>
          <w:sz w:val="24"/>
          <w:szCs w:val="24"/>
        </w:rPr>
        <w:t>Between Flexibility and Disintegration</w:t>
      </w:r>
      <w:r w:rsidRPr="004E2E14">
        <w:rPr>
          <w:rFonts w:ascii="Times New Roman" w:hAnsi="Times New Roman" w:cs="Times New Roman"/>
          <w:sz w:val="24"/>
          <w:szCs w:val="24"/>
        </w:rPr>
        <w:t>, Edward Elgar, 2017.</w:t>
      </w:r>
    </w:p>
    <w:p w14:paraId="714405BF" w14:textId="601187CA" w:rsidR="003C4579" w:rsidRPr="004E2E14" w:rsidRDefault="003C4579" w:rsidP="001D12B5">
      <w:pPr>
        <w:pStyle w:val="Textonotapie"/>
        <w:ind w:left="567" w:hanging="567"/>
        <w:jc w:val="both"/>
        <w:rPr>
          <w:rFonts w:ascii="Times New Roman" w:hAnsi="Times New Roman" w:cs="Times New Roman"/>
          <w:sz w:val="24"/>
          <w:szCs w:val="24"/>
        </w:rPr>
      </w:pPr>
      <w:r w:rsidRPr="004E2E14">
        <w:rPr>
          <w:rFonts w:ascii="Times New Roman" w:hAnsi="Times New Roman" w:cs="Times New Roman"/>
          <w:sz w:val="24"/>
          <w:szCs w:val="24"/>
        </w:rPr>
        <w:t>V-DEM INSTITUTE</w:t>
      </w:r>
      <w:r w:rsidR="00BD6A6F" w:rsidRPr="004E2E14">
        <w:rPr>
          <w:rFonts w:ascii="Times New Roman" w:hAnsi="Times New Roman" w:cs="Times New Roman"/>
          <w:sz w:val="24"/>
          <w:szCs w:val="24"/>
        </w:rPr>
        <w:t xml:space="preserve">, </w:t>
      </w:r>
      <w:r w:rsidRPr="004E2E14">
        <w:rPr>
          <w:rFonts w:ascii="Times New Roman" w:hAnsi="Times New Roman" w:cs="Times New Roman"/>
          <w:i/>
          <w:iCs/>
          <w:sz w:val="24"/>
          <w:szCs w:val="24"/>
        </w:rPr>
        <w:t xml:space="preserve">Autocratization Changing Nature. Democracy Report 2022, </w:t>
      </w:r>
      <w:r w:rsidRPr="004E2E14">
        <w:rPr>
          <w:rFonts w:ascii="Times New Roman" w:hAnsi="Times New Roman" w:cs="Times New Roman"/>
          <w:sz w:val="24"/>
          <w:szCs w:val="24"/>
        </w:rPr>
        <w:t>March 2022</w:t>
      </w:r>
      <w:r w:rsidR="0080320A" w:rsidRPr="004E2E14">
        <w:rPr>
          <w:rFonts w:ascii="Times New Roman" w:hAnsi="Times New Roman" w:cs="Times New Roman"/>
          <w:sz w:val="24"/>
          <w:szCs w:val="24"/>
        </w:rPr>
        <w:t>,</w:t>
      </w:r>
    </w:p>
    <w:p w14:paraId="7874D9F2" w14:textId="1BA45825" w:rsidR="003C4579" w:rsidRPr="004E2E14" w:rsidRDefault="001D12B5" w:rsidP="001D12B5">
      <w:pPr>
        <w:pStyle w:val="Textonotapie"/>
        <w:ind w:left="567"/>
        <w:jc w:val="both"/>
        <w:rPr>
          <w:rFonts w:ascii="Times New Roman" w:hAnsi="Times New Roman" w:cs="Times New Roman"/>
          <w:sz w:val="24"/>
          <w:szCs w:val="24"/>
        </w:rPr>
      </w:pPr>
      <w:r>
        <w:rPr>
          <w:rFonts w:ascii="Times New Roman" w:hAnsi="Times New Roman" w:cs="Times New Roman"/>
          <w:i/>
          <w:iCs/>
          <w:sz w:val="24"/>
          <w:szCs w:val="24"/>
        </w:rPr>
        <w:t>-</w:t>
      </w:r>
      <w:r w:rsidR="003C4579" w:rsidRPr="004E2E14">
        <w:rPr>
          <w:rFonts w:ascii="Times New Roman" w:hAnsi="Times New Roman" w:cs="Times New Roman"/>
          <w:i/>
          <w:iCs/>
          <w:sz w:val="24"/>
          <w:szCs w:val="24"/>
        </w:rPr>
        <w:t>Autocratization Turns Viral. Democracy Report 2021</w:t>
      </w:r>
      <w:r w:rsidR="003C4579" w:rsidRPr="004E2E14">
        <w:rPr>
          <w:rFonts w:ascii="Times New Roman" w:hAnsi="Times New Roman" w:cs="Times New Roman"/>
          <w:sz w:val="24"/>
          <w:szCs w:val="24"/>
        </w:rPr>
        <w:t>, March 2021</w:t>
      </w:r>
      <w:r w:rsidR="0080320A" w:rsidRPr="004E2E14">
        <w:rPr>
          <w:rFonts w:ascii="Times New Roman" w:hAnsi="Times New Roman" w:cs="Times New Roman"/>
          <w:sz w:val="24"/>
          <w:szCs w:val="24"/>
        </w:rPr>
        <w:t>,</w:t>
      </w:r>
    </w:p>
    <w:p w14:paraId="7927B679" w14:textId="17A2B5AC" w:rsidR="00BD6A6F" w:rsidRPr="004E2E14" w:rsidRDefault="001D12B5" w:rsidP="001D12B5">
      <w:pPr>
        <w:pStyle w:val="Textonotapie"/>
        <w:ind w:left="567"/>
        <w:jc w:val="both"/>
        <w:rPr>
          <w:rFonts w:ascii="Times New Roman" w:hAnsi="Times New Roman" w:cs="Times New Roman"/>
          <w:sz w:val="24"/>
          <w:szCs w:val="24"/>
        </w:rPr>
      </w:pPr>
      <w:r>
        <w:rPr>
          <w:rFonts w:ascii="Times New Roman" w:hAnsi="Times New Roman" w:cs="Times New Roman"/>
          <w:i/>
          <w:iCs/>
          <w:sz w:val="24"/>
          <w:szCs w:val="24"/>
        </w:rPr>
        <w:t>-</w:t>
      </w:r>
      <w:r w:rsidR="00BD6A6F" w:rsidRPr="004E2E14">
        <w:rPr>
          <w:rFonts w:ascii="Times New Roman" w:hAnsi="Times New Roman" w:cs="Times New Roman"/>
          <w:i/>
          <w:iCs/>
          <w:sz w:val="24"/>
          <w:szCs w:val="24"/>
        </w:rPr>
        <w:t>Autocratization Surges – Resistance Grows. Democracy Report 2020</w:t>
      </w:r>
      <w:r w:rsidR="0080320A" w:rsidRPr="004E2E14">
        <w:rPr>
          <w:rFonts w:ascii="Times New Roman" w:hAnsi="Times New Roman" w:cs="Times New Roman"/>
          <w:sz w:val="24"/>
          <w:szCs w:val="24"/>
        </w:rPr>
        <w:t>.</w:t>
      </w:r>
    </w:p>
    <w:p w14:paraId="0C9CC7B9" w14:textId="6DF0B78A" w:rsidR="002971F9" w:rsidRDefault="002971F9" w:rsidP="004E2E14">
      <w:pPr>
        <w:pStyle w:val="Textonotapie"/>
        <w:jc w:val="both"/>
        <w:rPr>
          <w:rFonts w:ascii="Times New Roman" w:hAnsi="Times New Roman" w:cs="Times New Roman"/>
          <w:sz w:val="24"/>
          <w:szCs w:val="24"/>
        </w:rPr>
      </w:pPr>
    </w:p>
    <w:p w14:paraId="66FE8703" w14:textId="77777777" w:rsidR="00F01DE2" w:rsidRDefault="00F01DE2" w:rsidP="004E2E14">
      <w:pPr>
        <w:pStyle w:val="Textonotapie"/>
        <w:jc w:val="both"/>
        <w:rPr>
          <w:rFonts w:ascii="Times New Roman" w:hAnsi="Times New Roman" w:cs="Times New Roman"/>
          <w:sz w:val="24"/>
          <w:szCs w:val="24"/>
        </w:rPr>
      </w:pPr>
    </w:p>
    <w:p w14:paraId="7323C4D1" w14:textId="77777777" w:rsidR="00F01DE2" w:rsidRPr="00AE175D" w:rsidRDefault="00F01DE2" w:rsidP="00F01DE2">
      <w:pPr>
        <w:spacing w:after="60" w:line="240" w:lineRule="auto"/>
        <w:jc w:val="center"/>
        <w:rPr>
          <w:rFonts w:ascii="Times New Roman" w:hAnsi="Times New Roman" w:cs="Times New Roman"/>
          <w:sz w:val="24"/>
          <w:szCs w:val="24"/>
        </w:rPr>
      </w:pPr>
    </w:p>
    <w:p w14:paraId="6945F1D4" w14:textId="77777777" w:rsidR="00F01DE2" w:rsidRPr="004E2E14" w:rsidRDefault="00F01DE2" w:rsidP="004E2E14">
      <w:pPr>
        <w:pStyle w:val="Textonotapie"/>
        <w:jc w:val="both"/>
        <w:rPr>
          <w:rFonts w:ascii="Times New Roman" w:hAnsi="Times New Roman" w:cs="Times New Roman"/>
          <w:sz w:val="24"/>
          <w:szCs w:val="24"/>
        </w:rPr>
      </w:pPr>
    </w:p>
    <w:sectPr w:rsidR="00F01DE2" w:rsidRPr="004E2E14" w:rsidSect="006B6475">
      <w:headerReference w:type="default" r:id="rId12"/>
      <w:footerReference w:type="even" r:id="rId13"/>
      <w:footerReference w:type="default" r:id="rId14"/>
      <w:footnotePr>
        <w:numRestart w:val="eachSect"/>
      </w:footnotePr>
      <w:pgSz w:w="11901" w:h="16834" w:code="133"/>
      <w:pgMar w:top="1418" w:right="1701" w:bottom="1418"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BA50F" w14:textId="77777777" w:rsidR="000D24B1" w:rsidRDefault="000D24B1" w:rsidP="00903DEA">
      <w:pPr>
        <w:spacing w:after="0" w:line="240" w:lineRule="auto"/>
      </w:pPr>
      <w:r>
        <w:separator/>
      </w:r>
    </w:p>
  </w:endnote>
  <w:endnote w:type="continuationSeparator" w:id="0">
    <w:p w14:paraId="28EAD260" w14:textId="77777777" w:rsidR="000D24B1" w:rsidRDefault="000D24B1" w:rsidP="0090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484649"/>
      <w:docPartObj>
        <w:docPartGallery w:val="Page Numbers (Bottom of Page)"/>
        <w:docPartUnique/>
      </w:docPartObj>
    </w:sdtPr>
    <w:sdtEndPr>
      <w:rPr>
        <w:rFonts w:ascii="Century Gothic" w:hAnsi="Century Gothic"/>
        <w:noProof/>
        <w:sz w:val="16"/>
        <w:szCs w:val="16"/>
      </w:rPr>
    </w:sdtEndPr>
    <w:sdtContent>
      <w:p w14:paraId="105CB519" w14:textId="0C4C59CA" w:rsidR="00BC272F" w:rsidRPr="002D7F30" w:rsidRDefault="00BC272F">
        <w:pPr>
          <w:pStyle w:val="Piedepgina"/>
          <w:rPr>
            <w:rFonts w:ascii="Century Gothic" w:hAnsi="Century Gothic"/>
            <w:sz w:val="16"/>
            <w:szCs w:val="16"/>
          </w:rPr>
        </w:pPr>
        <w:r w:rsidRPr="002D7F30">
          <w:rPr>
            <w:rFonts w:ascii="Century Gothic" w:hAnsi="Century Gothic"/>
            <w:sz w:val="16"/>
            <w:szCs w:val="16"/>
          </w:rPr>
          <w:fldChar w:fldCharType="begin"/>
        </w:r>
        <w:r w:rsidRPr="002D7F30">
          <w:rPr>
            <w:rFonts w:ascii="Century Gothic" w:hAnsi="Century Gothic"/>
            <w:sz w:val="16"/>
            <w:szCs w:val="16"/>
          </w:rPr>
          <w:instrText xml:space="preserve"> PAGE   \* MERGEFORMAT </w:instrText>
        </w:r>
        <w:r w:rsidRPr="002D7F30">
          <w:rPr>
            <w:rFonts w:ascii="Century Gothic" w:hAnsi="Century Gothic"/>
            <w:sz w:val="16"/>
            <w:szCs w:val="16"/>
          </w:rPr>
          <w:fldChar w:fldCharType="separate"/>
        </w:r>
        <w:r w:rsidR="006476D0">
          <w:rPr>
            <w:rFonts w:ascii="Century Gothic" w:hAnsi="Century Gothic"/>
            <w:noProof/>
            <w:sz w:val="16"/>
            <w:szCs w:val="16"/>
          </w:rPr>
          <w:t>6</w:t>
        </w:r>
        <w:r w:rsidRPr="002D7F30">
          <w:rPr>
            <w:rFonts w:ascii="Century Gothic" w:hAnsi="Century Gothic"/>
            <w:noProof/>
            <w:sz w:val="16"/>
            <w:szCs w:val="16"/>
          </w:rPr>
          <w:fldChar w:fldCharType="end"/>
        </w:r>
      </w:p>
    </w:sdtContent>
  </w:sdt>
  <w:p w14:paraId="6A4A3670" w14:textId="77777777" w:rsidR="00BC272F" w:rsidRDefault="00BC272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241324"/>
      <w:docPartObj>
        <w:docPartGallery w:val="Page Numbers (Bottom of Page)"/>
        <w:docPartUnique/>
      </w:docPartObj>
    </w:sdtPr>
    <w:sdtEndPr>
      <w:rPr>
        <w:rFonts w:ascii="Century Gothic" w:hAnsi="Century Gothic"/>
        <w:noProof/>
        <w:sz w:val="16"/>
        <w:szCs w:val="16"/>
      </w:rPr>
    </w:sdtEndPr>
    <w:sdtContent>
      <w:p w14:paraId="72DFF943" w14:textId="4AB33AE4" w:rsidR="00BC272F" w:rsidRPr="002D7F30" w:rsidRDefault="00BC272F">
        <w:pPr>
          <w:pStyle w:val="Piedepgina"/>
          <w:jc w:val="right"/>
          <w:rPr>
            <w:rFonts w:ascii="Century Gothic" w:hAnsi="Century Gothic"/>
            <w:sz w:val="16"/>
            <w:szCs w:val="16"/>
          </w:rPr>
        </w:pPr>
        <w:r w:rsidRPr="002D7F30">
          <w:rPr>
            <w:rFonts w:ascii="Century Gothic" w:hAnsi="Century Gothic"/>
            <w:sz w:val="16"/>
            <w:szCs w:val="16"/>
          </w:rPr>
          <w:fldChar w:fldCharType="begin"/>
        </w:r>
        <w:r w:rsidRPr="002D7F30">
          <w:rPr>
            <w:rFonts w:ascii="Century Gothic" w:hAnsi="Century Gothic"/>
            <w:sz w:val="16"/>
            <w:szCs w:val="16"/>
          </w:rPr>
          <w:instrText xml:space="preserve"> PAGE   \* MERGEFORMAT </w:instrText>
        </w:r>
        <w:r w:rsidRPr="002D7F30">
          <w:rPr>
            <w:rFonts w:ascii="Century Gothic" w:hAnsi="Century Gothic"/>
            <w:sz w:val="16"/>
            <w:szCs w:val="16"/>
          </w:rPr>
          <w:fldChar w:fldCharType="separate"/>
        </w:r>
        <w:r w:rsidR="006476D0">
          <w:rPr>
            <w:rFonts w:ascii="Century Gothic" w:hAnsi="Century Gothic"/>
            <w:noProof/>
            <w:sz w:val="16"/>
            <w:szCs w:val="16"/>
          </w:rPr>
          <w:t>7</w:t>
        </w:r>
        <w:r w:rsidRPr="002D7F30">
          <w:rPr>
            <w:rFonts w:ascii="Century Gothic" w:hAnsi="Century Gothic"/>
            <w:noProof/>
            <w:sz w:val="16"/>
            <w:szCs w:val="16"/>
          </w:rPr>
          <w:fldChar w:fldCharType="end"/>
        </w:r>
      </w:p>
    </w:sdtContent>
  </w:sdt>
  <w:p w14:paraId="59CE81E7" w14:textId="77777777" w:rsidR="00BC272F" w:rsidRDefault="00BC27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4340" w14:textId="77777777" w:rsidR="000D24B1" w:rsidRDefault="000D24B1" w:rsidP="00903DEA">
      <w:pPr>
        <w:spacing w:after="0" w:line="240" w:lineRule="auto"/>
      </w:pPr>
      <w:r>
        <w:separator/>
      </w:r>
    </w:p>
  </w:footnote>
  <w:footnote w:type="continuationSeparator" w:id="0">
    <w:p w14:paraId="18FCD342" w14:textId="77777777" w:rsidR="000D24B1" w:rsidRDefault="000D24B1" w:rsidP="00903DEA">
      <w:pPr>
        <w:spacing w:after="0" w:line="240" w:lineRule="auto"/>
      </w:pPr>
      <w:r>
        <w:continuationSeparator/>
      </w:r>
    </w:p>
  </w:footnote>
  <w:footnote w:id="1">
    <w:p w14:paraId="5E55C2EE" w14:textId="46818E1D" w:rsidR="00256EEE" w:rsidRPr="00256EEE" w:rsidRDefault="00256EEE" w:rsidP="00256EEE">
      <w:pPr>
        <w:pStyle w:val="Textonotapie"/>
        <w:jc w:val="both"/>
        <w:rPr>
          <w:rFonts w:ascii="Times New Roman" w:hAnsi="Times New Roman" w:cs="Times New Roman"/>
        </w:rPr>
      </w:pPr>
      <w:r w:rsidRPr="00256EEE">
        <w:rPr>
          <w:rStyle w:val="Refdenotaalpie"/>
          <w:rFonts w:ascii="Times New Roman" w:hAnsi="Times New Roman" w:cs="Times New Roman"/>
        </w:rPr>
        <w:footnoteRef/>
      </w:r>
      <w:r w:rsidRPr="00256EEE">
        <w:rPr>
          <w:rFonts w:ascii="Times New Roman" w:hAnsi="Times New Roman" w:cs="Times New Roman"/>
        </w:rPr>
        <w:t xml:space="preserve"> This work corresponds to the presentation with the same title that was made at the VI International Congress of the Ibero-American Network of Legal Studies 1812 (U. Lus</w:t>
      </w:r>
      <w:r>
        <w:rPr>
          <w:rFonts w:ascii="Times New Roman" w:hAnsi="Times New Roman" w:cs="Times New Roman"/>
        </w:rPr>
        <w:t>í</w:t>
      </w:r>
      <w:r w:rsidRPr="00256EEE">
        <w:rPr>
          <w:rFonts w:ascii="Times New Roman" w:hAnsi="Times New Roman" w:cs="Times New Roman"/>
        </w:rPr>
        <w:t xml:space="preserve">ada, Lisbon, June 2025) and is an update of a study that has not yet been published and which has been given the title </w:t>
      </w:r>
      <w:r>
        <w:rPr>
          <w:rFonts w:ascii="Times New Roman" w:hAnsi="Times New Roman" w:cs="Times New Roman"/>
        </w:rPr>
        <w:t>“</w:t>
      </w:r>
      <w:r w:rsidRPr="00256EEE">
        <w:rPr>
          <w:rFonts w:ascii="Times New Roman" w:hAnsi="Times New Roman" w:cs="Times New Roman"/>
        </w:rPr>
        <w:t>Rule of Law and Judicial Power: The Experience of the European Union</w:t>
      </w:r>
      <w:r>
        <w:rPr>
          <w:rFonts w:ascii="Times New Roman" w:hAnsi="Times New Roman" w:cs="Times New Roman"/>
        </w:rPr>
        <w:t>”</w:t>
      </w:r>
      <w:r w:rsidRPr="00256EEE">
        <w:rPr>
          <w:rFonts w:ascii="Times New Roman" w:hAnsi="Times New Roman" w:cs="Times New Roman"/>
        </w:rPr>
        <w:t>.</w:t>
      </w:r>
    </w:p>
  </w:footnote>
  <w:footnote w:id="2">
    <w:p w14:paraId="1312B896" w14:textId="6A211A40" w:rsidR="00976ECF" w:rsidRPr="00256EEE" w:rsidRDefault="00976ECF" w:rsidP="00256EEE">
      <w:pPr>
        <w:spacing w:line="240" w:lineRule="auto"/>
        <w:jc w:val="both"/>
        <w:rPr>
          <w:rFonts w:ascii="Times New Roman" w:hAnsi="Times New Roman" w:cs="Times New Roman"/>
          <w:smallCaps/>
          <w:sz w:val="20"/>
          <w:szCs w:val="20"/>
        </w:rPr>
      </w:pPr>
      <w:r w:rsidRPr="00256EEE">
        <w:rPr>
          <w:rStyle w:val="Refdenotaalpie"/>
          <w:rFonts w:ascii="Times New Roman" w:hAnsi="Times New Roman" w:cs="Times New Roman"/>
          <w:sz w:val="20"/>
          <w:szCs w:val="20"/>
        </w:rPr>
        <w:footnoteRef/>
      </w:r>
      <w:r w:rsidR="00253C2F" w:rsidRPr="00256EEE">
        <w:rPr>
          <w:rFonts w:ascii="Times New Roman" w:hAnsi="Times New Roman" w:cs="Times New Roman"/>
          <w:sz w:val="20"/>
          <w:szCs w:val="20"/>
        </w:rPr>
        <w:t xml:space="preserve"> </w:t>
      </w:r>
      <w:r w:rsidR="00425FC8" w:rsidRPr="00256EEE">
        <w:rPr>
          <w:rFonts w:ascii="Times New Roman" w:hAnsi="Times New Roman" w:cs="Times New Roman"/>
          <w:sz w:val="20"/>
          <w:szCs w:val="20"/>
        </w:rPr>
        <w:t xml:space="preserve">Assistant </w:t>
      </w:r>
      <w:r w:rsidRPr="00256EEE">
        <w:rPr>
          <w:rFonts w:ascii="Times New Roman" w:hAnsi="Times New Roman" w:cs="Times New Roman"/>
          <w:sz w:val="20"/>
          <w:szCs w:val="20"/>
        </w:rPr>
        <w:t xml:space="preserve">Professor at the Law Faculty of Lusíada University, in Oporto, Portugal. </w:t>
      </w:r>
      <w:r w:rsidR="00253C2F" w:rsidRPr="00256EEE">
        <w:rPr>
          <w:rFonts w:ascii="Times New Roman" w:hAnsi="Times New Roman" w:cs="Times New Roman"/>
          <w:sz w:val="20"/>
          <w:szCs w:val="20"/>
        </w:rPr>
        <w:t>R</w:t>
      </w:r>
      <w:r w:rsidRPr="00256EEE">
        <w:rPr>
          <w:rFonts w:ascii="Times New Roman" w:hAnsi="Times New Roman" w:cs="Times New Roman"/>
          <w:sz w:val="20"/>
          <w:szCs w:val="20"/>
        </w:rPr>
        <w:t>esearcher of</w:t>
      </w:r>
      <w:r w:rsidR="00253C2F" w:rsidRPr="00256EEE">
        <w:rPr>
          <w:rFonts w:ascii="Times New Roman" w:hAnsi="Times New Roman" w:cs="Times New Roman"/>
          <w:sz w:val="20"/>
          <w:szCs w:val="20"/>
        </w:rPr>
        <w:t xml:space="preserve"> CEJE</w:t>
      </w:r>
      <w:r w:rsidR="006939B7" w:rsidRPr="00256EEE">
        <w:rPr>
          <w:rFonts w:ascii="Times New Roman" w:hAnsi="Times New Roman" w:cs="Times New Roman"/>
          <w:sz w:val="20"/>
          <w:szCs w:val="20"/>
        </w:rPr>
        <w:t>I</w:t>
      </w:r>
      <w:r w:rsidR="00253C2F" w:rsidRPr="00256EEE">
        <w:rPr>
          <w:rFonts w:ascii="Times New Roman" w:hAnsi="Times New Roman" w:cs="Times New Roman"/>
          <w:sz w:val="20"/>
          <w:szCs w:val="20"/>
        </w:rPr>
        <w:t>A -</w:t>
      </w:r>
      <w:r w:rsidRPr="00256EEE">
        <w:rPr>
          <w:rFonts w:ascii="Times New Roman" w:hAnsi="Times New Roman" w:cs="Times New Roman"/>
          <w:sz w:val="20"/>
          <w:szCs w:val="20"/>
        </w:rPr>
        <w:t xml:space="preserve"> Centre for Legal, Economic</w:t>
      </w:r>
      <w:r w:rsidR="006939B7" w:rsidRPr="00256EEE">
        <w:rPr>
          <w:rFonts w:ascii="Times New Roman" w:hAnsi="Times New Roman" w:cs="Times New Roman"/>
          <w:sz w:val="20"/>
          <w:szCs w:val="20"/>
        </w:rPr>
        <w:t>, International</w:t>
      </w:r>
      <w:r w:rsidRPr="00256EEE">
        <w:rPr>
          <w:rFonts w:ascii="Times New Roman" w:hAnsi="Times New Roman" w:cs="Times New Roman"/>
          <w:sz w:val="20"/>
          <w:szCs w:val="20"/>
        </w:rPr>
        <w:t xml:space="preserve"> and Environmental Studies.</w:t>
      </w:r>
      <w:r w:rsidR="00253C2F" w:rsidRPr="00256EEE">
        <w:rPr>
          <w:rFonts w:ascii="Times New Roman" w:hAnsi="Times New Roman" w:cs="Times New Roman"/>
          <w:sz w:val="20"/>
          <w:szCs w:val="20"/>
        </w:rPr>
        <w:t xml:space="preserve"> E-mail: cas@por.ulusiada.pt</w:t>
      </w:r>
    </w:p>
    <w:p w14:paraId="696667A3" w14:textId="50401687" w:rsidR="00976ECF" w:rsidRPr="00A06821" w:rsidRDefault="00976ECF" w:rsidP="00987497">
      <w:pPr>
        <w:pStyle w:val="Textonotapie"/>
        <w:jc w:val="both"/>
        <w:rPr>
          <w:rFonts w:ascii="Times New Roman" w:hAnsi="Times New Roman" w:cs="Times New Roman"/>
        </w:rPr>
      </w:pPr>
    </w:p>
  </w:footnote>
  <w:footnote w:id="3">
    <w:p w14:paraId="09AA9D39" w14:textId="680004EB" w:rsidR="00EC3058" w:rsidRPr="00A06821" w:rsidRDefault="00EC3058"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A66ED9" w:rsidRPr="00A06821">
        <w:rPr>
          <w:rFonts w:ascii="Times New Roman" w:hAnsi="Times New Roman" w:cs="Times New Roman"/>
        </w:rPr>
        <w:t xml:space="preserve">Article 2 is considered a source of binding legal norms. </w:t>
      </w:r>
      <w:r w:rsidRPr="00A06821">
        <w:rPr>
          <w:rFonts w:ascii="Times New Roman" w:hAnsi="Times New Roman" w:cs="Times New Roman"/>
        </w:rPr>
        <w:t xml:space="preserve">PECH, L., «A Union Founded on the </w:t>
      </w:r>
      <w:r w:rsidR="00062F6C">
        <w:rPr>
          <w:rFonts w:ascii="Times New Roman" w:hAnsi="Times New Roman" w:cs="Times New Roman"/>
        </w:rPr>
        <w:t>Rule of Law</w:t>
      </w:r>
      <w:r w:rsidRPr="00A06821">
        <w:rPr>
          <w:rFonts w:ascii="Times New Roman" w:hAnsi="Times New Roman" w:cs="Times New Roman"/>
        </w:rPr>
        <w:t xml:space="preserve">: Meaning and Reality of the </w:t>
      </w:r>
      <w:r w:rsidR="00062F6C">
        <w:rPr>
          <w:rFonts w:ascii="Times New Roman" w:hAnsi="Times New Roman" w:cs="Times New Roman"/>
        </w:rPr>
        <w:t>Rule of Law</w:t>
      </w:r>
      <w:r w:rsidRPr="00A06821">
        <w:rPr>
          <w:rFonts w:ascii="Times New Roman" w:hAnsi="Times New Roman" w:cs="Times New Roman"/>
        </w:rPr>
        <w:t xml:space="preserve"> as a Constitutional Principle of EU Law», </w:t>
      </w:r>
      <w:r w:rsidRPr="00A06821">
        <w:rPr>
          <w:rFonts w:ascii="Times New Roman" w:hAnsi="Times New Roman" w:cs="Times New Roman"/>
          <w:i/>
          <w:iCs/>
        </w:rPr>
        <w:t>European Constitutional Law Review</w:t>
      </w:r>
      <w:r w:rsidRPr="00A06821">
        <w:rPr>
          <w:rFonts w:ascii="Times New Roman" w:hAnsi="Times New Roman" w:cs="Times New Roman"/>
        </w:rPr>
        <w:t xml:space="preserve">, Vol. 6, 2010, p. 366; KOCHENOV, D. V., </w:t>
      </w:r>
      <w:r w:rsidR="00784B2A" w:rsidRPr="00A06821">
        <w:rPr>
          <w:rFonts w:ascii="Times New Roman" w:hAnsi="Times New Roman" w:cs="Times New Roman"/>
        </w:rPr>
        <w:t>«</w:t>
      </w:r>
      <w:r w:rsidRPr="00A06821">
        <w:rPr>
          <w:rFonts w:ascii="Times New Roman" w:hAnsi="Times New Roman" w:cs="Times New Roman"/>
        </w:rPr>
        <w:t>The Acquis and Its Principles: The Enforcement of the Law versus the Enforcement of Values in the EU</w:t>
      </w:r>
      <w:r w:rsidR="00784B2A" w:rsidRPr="00A06821">
        <w:rPr>
          <w:rFonts w:ascii="Times New Roman" w:hAnsi="Times New Roman" w:cs="Times New Roman"/>
        </w:rPr>
        <w:t>»</w:t>
      </w:r>
      <w:r w:rsidRPr="00A06821">
        <w:rPr>
          <w:rFonts w:ascii="Times New Roman" w:hAnsi="Times New Roman" w:cs="Times New Roman"/>
        </w:rPr>
        <w:t xml:space="preserve">, </w:t>
      </w:r>
      <w:r w:rsidR="00784B2A" w:rsidRPr="00A06821">
        <w:rPr>
          <w:rFonts w:ascii="Times New Roman" w:hAnsi="Times New Roman" w:cs="Times New Roman"/>
        </w:rPr>
        <w:t>JAKAB, A.</w:t>
      </w:r>
      <w:r w:rsidRPr="00A06821">
        <w:rPr>
          <w:rFonts w:ascii="Times New Roman" w:hAnsi="Times New Roman" w:cs="Times New Roman"/>
        </w:rPr>
        <w:t xml:space="preserve"> and</w:t>
      </w:r>
      <w:r w:rsidR="00784B2A" w:rsidRPr="00A06821">
        <w:rPr>
          <w:rFonts w:ascii="Times New Roman" w:hAnsi="Times New Roman" w:cs="Times New Roman"/>
        </w:rPr>
        <w:t xml:space="preserve"> KOCHENOV, D. V.</w:t>
      </w:r>
      <w:r w:rsidRPr="00A06821">
        <w:rPr>
          <w:rFonts w:ascii="Times New Roman" w:hAnsi="Times New Roman" w:cs="Times New Roman"/>
        </w:rPr>
        <w:t xml:space="preserve"> (</w:t>
      </w:r>
      <w:r w:rsidR="00784B2A" w:rsidRPr="00A06821">
        <w:rPr>
          <w:rFonts w:ascii="Times New Roman" w:hAnsi="Times New Roman" w:cs="Times New Roman"/>
        </w:rPr>
        <w:t>E</w:t>
      </w:r>
      <w:r w:rsidRPr="00A06821">
        <w:rPr>
          <w:rFonts w:ascii="Times New Roman" w:hAnsi="Times New Roman" w:cs="Times New Roman"/>
        </w:rPr>
        <w:t xml:space="preserve">ds.), </w:t>
      </w:r>
      <w:r w:rsidRPr="00A06821">
        <w:rPr>
          <w:rFonts w:ascii="Times New Roman" w:hAnsi="Times New Roman" w:cs="Times New Roman"/>
          <w:i/>
          <w:iCs/>
        </w:rPr>
        <w:t xml:space="preserve">The Enforcement of EU Law and Values: Ensuring </w:t>
      </w:r>
      <w:r w:rsidR="00062F6C">
        <w:rPr>
          <w:rFonts w:ascii="Times New Roman" w:hAnsi="Times New Roman" w:cs="Times New Roman"/>
          <w:i/>
          <w:iCs/>
        </w:rPr>
        <w:t>Member States</w:t>
      </w:r>
      <w:r w:rsidRPr="00A06821">
        <w:rPr>
          <w:rFonts w:ascii="Times New Roman" w:hAnsi="Times New Roman" w:cs="Times New Roman"/>
          <w:i/>
          <w:iCs/>
        </w:rPr>
        <w:t>' Compliance</w:t>
      </w:r>
      <w:r w:rsidRPr="00A06821">
        <w:rPr>
          <w:rFonts w:ascii="Times New Roman" w:hAnsi="Times New Roman" w:cs="Times New Roman"/>
        </w:rPr>
        <w:t xml:space="preserve">, Oxford University Press, 2017; </w:t>
      </w:r>
      <w:r w:rsidR="00784B2A" w:rsidRPr="00A06821">
        <w:rPr>
          <w:rFonts w:ascii="Times New Roman" w:hAnsi="Times New Roman" w:cs="Times New Roman"/>
        </w:rPr>
        <w:t>ITZCOVICH</w:t>
      </w:r>
      <w:r w:rsidRPr="00A06821">
        <w:rPr>
          <w:rFonts w:ascii="Times New Roman" w:hAnsi="Times New Roman" w:cs="Times New Roman"/>
        </w:rPr>
        <w:t xml:space="preserve">, </w:t>
      </w:r>
      <w:r w:rsidR="00784B2A" w:rsidRPr="00A06821">
        <w:rPr>
          <w:rFonts w:ascii="Times New Roman" w:hAnsi="Times New Roman" w:cs="Times New Roman"/>
        </w:rPr>
        <w:t>G., «</w:t>
      </w:r>
      <w:r w:rsidRPr="00A06821">
        <w:rPr>
          <w:rFonts w:ascii="Times New Roman" w:hAnsi="Times New Roman" w:cs="Times New Roman"/>
        </w:rPr>
        <w:t>On the Legal Enforcement of Values. The Importance of the Institutional Context</w:t>
      </w:r>
      <w:r w:rsidR="00784B2A" w:rsidRPr="00A06821">
        <w:rPr>
          <w:rFonts w:ascii="Times New Roman" w:hAnsi="Times New Roman" w:cs="Times New Roman"/>
        </w:rPr>
        <w:t>»</w:t>
      </w:r>
      <w:r w:rsidRPr="00A06821">
        <w:rPr>
          <w:rFonts w:ascii="Times New Roman" w:hAnsi="Times New Roman" w:cs="Times New Roman"/>
        </w:rPr>
        <w:t xml:space="preserve"> in </w:t>
      </w:r>
      <w:r w:rsidR="00784B2A" w:rsidRPr="00A06821">
        <w:rPr>
          <w:rFonts w:ascii="Times New Roman" w:hAnsi="Times New Roman" w:cs="Times New Roman"/>
        </w:rPr>
        <w:t xml:space="preserve">JAKAB, A. and KOCHENOV, D. V. (Eds.), </w:t>
      </w:r>
      <w:r w:rsidR="00784B2A" w:rsidRPr="00A06821">
        <w:rPr>
          <w:rFonts w:ascii="Times New Roman" w:hAnsi="Times New Roman" w:cs="Times New Roman"/>
          <w:i/>
          <w:iCs/>
        </w:rPr>
        <w:t>The Enforcement</w:t>
      </w:r>
      <w:r w:rsidRPr="00A06821">
        <w:rPr>
          <w:rFonts w:ascii="Times New Roman" w:hAnsi="Times New Roman" w:cs="Times New Roman"/>
        </w:rPr>
        <w:t xml:space="preserve">, </w:t>
      </w:r>
      <w:r w:rsidRPr="00A06821">
        <w:rPr>
          <w:rFonts w:ascii="Times New Roman" w:hAnsi="Times New Roman" w:cs="Times New Roman"/>
          <w:i/>
          <w:iCs/>
        </w:rPr>
        <w:t>op.cit</w:t>
      </w:r>
      <w:r w:rsidRPr="00A06821">
        <w:rPr>
          <w:rFonts w:ascii="Times New Roman" w:hAnsi="Times New Roman" w:cs="Times New Roman"/>
        </w:rPr>
        <w:t xml:space="preserve">.; </w:t>
      </w:r>
      <w:r w:rsidR="00784B2A" w:rsidRPr="00A06821">
        <w:rPr>
          <w:rFonts w:ascii="Times New Roman" w:hAnsi="Times New Roman" w:cs="Times New Roman"/>
        </w:rPr>
        <w:t>SCHROEDER</w:t>
      </w:r>
      <w:r w:rsidRPr="00A06821">
        <w:rPr>
          <w:rFonts w:ascii="Times New Roman" w:hAnsi="Times New Roman" w:cs="Times New Roman"/>
        </w:rPr>
        <w:t xml:space="preserve">, </w:t>
      </w:r>
      <w:r w:rsidR="00784B2A" w:rsidRPr="00A06821">
        <w:rPr>
          <w:rFonts w:ascii="Times New Roman" w:hAnsi="Times New Roman" w:cs="Times New Roman"/>
        </w:rPr>
        <w:t>W., «</w:t>
      </w:r>
      <w:r w:rsidRPr="00A06821">
        <w:rPr>
          <w:rFonts w:ascii="Times New Roman" w:hAnsi="Times New Roman" w:cs="Times New Roman"/>
        </w:rPr>
        <w:t xml:space="preserve">The </w:t>
      </w:r>
      <w:r w:rsidR="00062F6C">
        <w:rPr>
          <w:rFonts w:ascii="Times New Roman" w:hAnsi="Times New Roman" w:cs="Times New Roman"/>
        </w:rPr>
        <w:t>Rule of Law</w:t>
      </w:r>
      <w:r w:rsidRPr="00A06821">
        <w:rPr>
          <w:rFonts w:ascii="Times New Roman" w:hAnsi="Times New Roman" w:cs="Times New Roman"/>
        </w:rPr>
        <w:t xml:space="preserve"> </w:t>
      </w:r>
      <w:r w:rsidR="00A26AA1" w:rsidRPr="00A06821">
        <w:rPr>
          <w:rFonts w:ascii="Times New Roman" w:hAnsi="Times New Roman" w:cs="Times New Roman"/>
        </w:rPr>
        <w:t>as</w:t>
      </w:r>
      <w:r w:rsidRPr="00A06821">
        <w:rPr>
          <w:rFonts w:ascii="Times New Roman" w:hAnsi="Times New Roman" w:cs="Times New Roman"/>
        </w:rPr>
        <w:t xml:space="preserve"> a Value in the Sense of Article 2 TEU: What Does It Mean and Imply?</w:t>
      </w:r>
      <w:r w:rsidR="00784B2A" w:rsidRPr="00A06821">
        <w:rPr>
          <w:rFonts w:ascii="Times New Roman" w:hAnsi="Times New Roman" w:cs="Times New Roman"/>
        </w:rPr>
        <w:t>»</w:t>
      </w:r>
      <w:r w:rsidRPr="00A06821">
        <w:rPr>
          <w:rFonts w:ascii="Times New Roman" w:hAnsi="Times New Roman" w:cs="Times New Roman"/>
        </w:rPr>
        <w:t xml:space="preserve">, in </w:t>
      </w:r>
      <w:r w:rsidR="00784B2A" w:rsidRPr="00A06821">
        <w:rPr>
          <w:rFonts w:ascii="Times New Roman" w:hAnsi="Times New Roman" w:cs="Times New Roman"/>
        </w:rPr>
        <w:t>VON</w:t>
      </w:r>
      <w:r w:rsidRPr="00A06821">
        <w:rPr>
          <w:rFonts w:ascii="Times New Roman" w:hAnsi="Times New Roman" w:cs="Times New Roman"/>
        </w:rPr>
        <w:t xml:space="preserve"> </w:t>
      </w:r>
      <w:r w:rsidR="00784B2A" w:rsidRPr="00A06821">
        <w:rPr>
          <w:rFonts w:ascii="Times New Roman" w:hAnsi="Times New Roman" w:cs="Times New Roman"/>
        </w:rPr>
        <w:t>BOGDANDY, A.,</w:t>
      </w:r>
      <w:r w:rsidRPr="00A06821">
        <w:rPr>
          <w:rFonts w:ascii="Times New Roman" w:hAnsi="Times New Roman" w:cs="Times New Roman"/>
        </w:rPr>
        <w:t xml:space="preserve"> et </w:t>
      </w:r>
      <w:r w:rsidRPr="00A06821">
        <w:rPr>
          <w:rFonts w:ascii="Times New Roman" w:hAnsi="Times New Roman" w:cs="Times New Roman"/>
          <w:i/>
          <w:iCs/>
        </w:rPr>
        <w:t>al.</w:t>
      </w:r>
      <w:r w:rsidRPr="00A06821">
        <w:rPr>
          <w:rFonts w:ascii="Times New Roman" w:hAnsi="Times New Roman" w:cs="Times New Roman"/>
        </w:rPr>
        <w:t xml:space="preserve"> (</w:t>
      </w:r>
      <w:r w:rsidR="00784B2A" w:rsidRPr="00A06821">
        <w:rPr>
          <w:rFonts w:ascii="Times New Roman" w:hAnsi="Times New Roman" w:cs="Times New Roman"/>
        </w:rPr>
        <w:t>E</w:t>
      </w:r>
      <w:r w:rsidRPr="00A06821">
        <w:rPr>
          <w:rFonts w:ascii="Times New Roman" w:hAnsi="Times New Roman" w:cs="Times New Roman"/>
        </w:rPr>
        <w:t xml:space="preserve">ds), </w:t>
      </w:r>
      <w:r w:rsidRPr="00A06821">
        <w:rPr>
          <w:rFonts w:ascii="Times New Roman" w:hAnsi="Times New Roman" w:cs="Times New Roman"/>
          <w:i/>
          <w:iCs/>
        </w:rPr>
        <w:t xml:space="preserve">Defending Checks and Balances in EU </w:t>
      </w:r>
      <w:r w:rsidR="00062F6C">
        <w:rPr>
          <w:rFonts w:ascii="Times New Roman" w:hAnsi="Times New Roman" w:cs="Times New Roman"/>
          <w:i/>
          <w:iCs/>
        </w:rPr>
        <w:t>Member States</w:t>
      </w:r>
      <w:r w:rsidRPr="00A06821">
        <w:rPr>
          <w:rFonts w:ascii="Times New Roman" w:hAnsi="Times New Roman" w:cs="Times New Roman"/>
        </w:rPr>
        <w:t>, Springer 2021.</w:t>
      </w:r>
    </w:p>
  </w:footnote>
  <w:footnote w:id="4">
    <w:p w14:paraId="70F58361" w14:textId="145E3313" w:rsidR="00D41C11" w:rsidRPr="00A06821" w:rsidRDefault="00D41C11"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073DFD" w:rsidRPr="00A06821">
        <w:rPr>
          <w:rFonts w:ascii="Times New Roman" w:hAnsi="Times New Roman" w:cs="Times New Roman"/>
        </w:rPr>
        <w:t xml:space="preserve">State of de Union 2021, </w:t>
      </w:r>
      <w:hyperlink r:id="rId1" w:history="1">
        <w:r w:rsidR="00E37ED6" w:rsidRPr="00A06821">
          <w:rPr>
            <w:rStyle w:val="Hipervnculo"/>
            <w:rFonts w:ascii="Times New Roman" w:hAnsi="Times New Roman" w:cs="Times New Roman"/>
          </w:rPr>
          <w:t>https://ec.europa.eu/info/strategy/strategic-planning/state-union-addresses/state-union-2021_en</w:t>
        </w:r>
      </w:hyperlink>
      <w:r w:rsidR="00E37ED6" w:rsidRPr="00A06821">
        <w:rPr>
          <w:rFonts w:ascii="Times New Roman" w:hAnsi="Times New Roman" w:cs="Times New Roman"/>
        </w:rPr>
        <w:t>. In the words of Koen Lenaerts, president of the CJEU, “integration through</w:t>
      </w:r>
      <w:r w:rsidR="004479B0" w:rsidRPr="00A06821">
        <w:rPr>
          <w:rFonts w:ascii="Times New Roman" w:hAnsi="Times New Roman" w:cs="Times New Roman"/>
        </w:rPr>
        <w:t xml:space="preserve"> the </w:t>
      </w:r>
      <w:r w:rsidR="00062F6C">
        <w:rPr>
          <w:rFonts w:ascii="Times New Roman" w:hAnsi="Times New Roman" w:cs="Times New Roman"/>
        </w:rPr>
        <w:t>Rule of Law</w:t>
      </w:r>
      <w:r w:rsidR="004479B0" w:rsidRPr="00A06821">
        <w:rPr>
          <w:rFonts w:ascii="Times New Roman" w:hAnsi="Times New Roman" w:cs="Times New Roman"/>
        </w:rPr>
        <w:t xml:space="preserve"> defines what the European </w:t>
      </w:r>
      <w:r w:rsidR="00FA49BF" w:rsidRPr="00A06821">
        <w:rPr>
          <w:rFonts w:ascii="Times New Roman" w:hAnsi="Times New Roman" w:cs="Times New Roman"/>
        </w:rPr>
        <w:t>Union</w:t>
      </w:r>
      <w:r w:rsidR="004479B0" w:rsidRPr="00A06821">
        <w:rPr>
          <w:rFonts w:ascii="Times New Roman" w:hAnsi="Times New Roman" w:cs="Times New Roman"/>
        </w:rPr>
        <w:t xml:space="preserve"> today stands for.</w:t>
      </w:r>
    </w:p>
  </w:footnote>
  <w:footnote w:id="5">
    <w:p w14:paraId="35909AD4" w14:textId="77777777" w:rsidR="000A1179" w:rsidRPr="00A06821" w:rsidRDefault="000A117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Recital 6 of Regulation (EU, Euratom) 2020/2092 of the European Parliament and of the Council of 16.12 on a general regime of conditionality for the protection of the Union budget.</w:t>
      </w:r>
    </w:p>
  </w:footnote>
  <w:footnote w:id="6">
    <w:p w14:paraId="65AB14F3" w14:textId="549C481E" w:rsidR="004479B0" w:rsidRPr="00A06821" w:rsidRDefault="004479B0"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LENAERTS, K., «New horizons for the </w:t>
      </w:r>
      <w:r w:rsidR="00062F6C">
        <w:rPr>
          <w:rFonts w:ascii="Times New Roman" w:hAnsi="Times New Roman" w:cs="Times New Roman"/>
        </w:rPr>
        <w:t>Rule of Law</w:t>
      </w:r>
      <w:r w:rsidRPr="00A06821">
        <w:rPr>
          <w:rFonts w:ascii="Times New Roman" w:hAnsi="Times New Roman" w:cs="Times New Roman"/>
        </w:rPr>
        <w:t xml:space="preserve"> within the EU», </w:t>
      </w:r>
      <w:r w:rsidR="00464ABB" w:rsidRPr="00A06821">
        <w:rPr>
          <w:rFonts w:ascii="Times New Roman" w:hAnsi="Times New Roman" w:cs="Times New Roman"/>
        </w:rPr>
        <w:t>German Law Journal, German Law Journal, Volume 21, Special Issue 1: 20 Challenges in the EU in 2020, January 2020, pp. 29 – 34.</w:t>
      </w:r>
      <w:r w:rsidRPr="00A06821">
        <w:rPr>
          <w:rFonts w:ascii="Times New Roman" w:hAnsi="Times New Roman" w:cs="Times New Roman"/>
        </w:rPr>
        <w:t xml:space="preserve"> </w:t>
      </w:r>
    </w:p>
  </w:footnote>
  <w:footnote w:id="7">
    <w:p w14:paraId="6F199B14" w14:textId="73EF6610" w:rsidR="00AE63E7" w:rsidRPr="00A06821" w:rsidRDefault="00AE63E7"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265AA9" w:rsidRPr="00A06821">
        <w:rPr>
          <w:rFonts w:ascii="Times New Roman" w:hAnsi="Times New Roman" w:cs="Times New Roman"/>
        </w:rPr>
        <w:t xml:space="preserve">Note that the concept of the </w:t>
      </w:r>
      <w:r w:rsidR="00062F6C">
        <w:rPr>
          <w:rFonts w:ascii="Times New Roman" w:hAnsi="Times New Roman" w:cs="Times New Roman"/>
        </w:rPr>
        <w:t>Rule of Law</w:t>
      </w:r>
      <w:r w:rsidR="00265AA9" w:rsidRPr="00A06821">
        <w:rPr>
          <w:rFonts w:ascii="Times New Roman" w:hAnsi="Times New Roman" w:cs="Times New Roman"/>
        </w:rPr>
        <w:t xml:space="preserve"> is far from peaceful, as Laurent Pech explains in </w:t>
      </w:r>
      <w:r w:rsidR="00EE7177" w:rsidRPr="00A06821">
        <w:rPr>
          <w:rFonts w:ascii="Times New Roman" w:hAnsi="Times New Roman" w:cs="Times New Roman"/>
        </w:rPr>
        <w:t>«</w:t>
      </w:r>
      <w:r w:rsidR="00265AA9" w:rsidRPr="00A06821">
        <w:rPr>
          <w:rFonts w:ascii="Times New Roman" w:hAnsi="Times New Roman" w:cs="Times New Roman"/>
        </w:rPr>
        <w:t xml:space="preserve">The </w:t>
      </w:r>
      <w:r w:rsidR="00062F6C">
        <w:rPr>
          <w:rFonts w:ascii="Times New Roman" w:hAnsi="Times New Roman" w:cs="Times New Roman"/>
        </w:rPr>
        <w:t>Rule of Law</w:t>
      </w:r>
      <w:r w:rsidR="00265AA9" w:rsidRPr="00A06821">
        <w:rPr>
          <w:rFonts w:ascii="Times New Roman" w:hAnsi="Times New Roman" w:cs="Times New Roman"/>
        </w:rPr>
        <w:t xml:space="preserve"> as a Well-</w:t>
      </w:r>
      <w:r w:rsidR="00427F56" w:rsidRPr="00A06821">
        <w:rPr>
          <w:rFonts w:ascii="Times New Roman" w:hAnsi="Times New Roman" w:cs="Times New Roman"/>
        </w:rPr>
        <w:t>Established</w:t>
      </w:r>
      <w:r w:rsidR="00265AA9" w:rsidRPr="00A06821">
        <w:rPr>
          <w:rFonts w:ascii="Times New Roman" w:hAnsi="Times New Roman" w:cs="Times New Roman"/>
        </w:rPr>
        <w:t xml:space="preserve"> and Well-Defined Principle of EU Law», </w:t>
      </w:r>
      <w:r w:rsidR="00265AA9" w:rsidRPr="00A06821">
        <w:rPr>
          <w:rFonts w:ascii="Times New Roman" w:hAnsi="Times New Roman" w:cs="Times New Roman"/>
          <w:i/>
          <w:iCs/>
        </w:rPr>
        <w:t>Hague Journal</w:t>
      </w:r>
      <w:r w:rsidR="00EE7177" w:rsidRPr="00A06821">
        <w:rPr>
          <w:rFonts w:ascii="Times New Roman" w:hAnsi="Times New Roman" w:cs="Times New Roman"/>
          <w:i/>
          <w:iCs/>
        </w:rPr>
        <w:t xml:space="preserve"> on the </w:t>
      </w:r>
      <w:r w:rsidR="00062F6C">
        <w:rPr>
          <w:rFonts w:ascii="Times New Roman" w:hAnsi="Times New Roman" w:cs="Times New Roman"/>
          <w:i/>
          <w:iCs/>
        </w:rPr>
        <w:t>Rule of Law</w:t>
      </w:r>
      <w:r w:rsidR="00EE7177" w:rsidRPr="00A06821">
        <w:rPr>
          <w:rFonts w:ascii="Times New Roman" w:hAnsi="Times New Roman" w:cs="Times New Roman"/>
        </w:rPr>
        <w:t>, published online 28 June 2022</w:t>
      </w:r>
      <w:r w:rsidR="00273CC2" w:rsidRPr="00A06821">
        <w:rPr>
          <w:rFonts w:ascii="Times New Roman" w:hAnsi="Times New Roman" w:cs="Times New Roman"/>
        </w:rPr>
        <w:t xml:space="preserve">. Nevertheless, this author argues that the </w:t>
      </w:r>
      <w:r w:rsidR="00062F6C">
        <w:rPr>
          <w:rFonts w:ascii="Times New Roman" w:hAnsi="Times New Roman" w:cs="Times New Roman"/>
        </w:rPr>
        <w:t>Rule of Law</w:t>
      </w:r>
      <w:r w:rsidR="00273CC2" w:rsidRPr="00A06821">
        <w:rPr>
          <w:rFonts w:ascii="Times New Roman" w:hAnsi="Times New Roman" w:cs="Times New Roman"/>
        </w:rPr>
        <w:t xml:space="preserve"> is “a well-established constitutional principle of EU law which is furthermore well-defined not least because of the Court of Justice’s extensive case law and the European </w:t>
      </w:r>
      <w:r w:rsidR="003B7CC4">
        <w:rPr>
          <w:rFonts w:ascii="Times New Roman" w:hAnsi="Times New Roman" w:cs="Times New Roman"/>
        </w:rPr>
        <w:t>Commission's</w:t>
      </w:r>
      <w:r w:rsidR="00273CC2" w:rsidRPr="00A06821">
        <w:rPr>
          <w:rFonts w:ascii="Times New Roman" w:hAnsi="Times New Roman" w:cs="Times New Roman"/>
        </w:rPr>
        <w:t xml:space="preserve"> definitional codification efforts in the past decade</w:t>
      </w:r>
      <w:r w:rsidR="00D86F4B" w:rsidRPr="00A06821">
        <w:rPr>
          <w:rFonts w:ascii="Times New Roman" w:hAnsi="Times New Roman" w:cs="Times New Roman"/>
        </w:rPr>
        <w:t>.”</w:t>
      </w:r>
    </w:p>
  </w:footnote>
  <w:footnote w:id="8">
    <w:p w14:paraId="2287767A" w14:textId="16D81D2C" w:rsidR="00BC6FFC" w:rsidRPr="00A06821" w:rsidRDefault="00BC6FF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B54706" w:rsidRPr="00A06821">
        <w:rPr>
          <w:rFonts w:ascii="Times New Roman" w:hAnsi="Times New Roman" w:cs="Times New Roman"/>
        </w:rPr>
        <w:t xml:space="preserve">COM(2019) 343 final, Communication from the Commission to the European Parliament, the European Council, the Council, the European Economic and Social Committee and the Committee of the Regions, </w:t>
      </w:r>
      <w:r w:rsidR="00B54706" w:rsidRPr="00A06821">
        <w:rPr>
          <w:rFonts w:ascii="Times New Roman" w:hAnsi="Times New Roman" w:cs="Times New Roman"/>
          <w:i/>
          <w:iCs/>
        </w:rPr>
        <w:t xml:space="preserve">Strengthening the </w:t>
      </w:r>
      <w:r w:rsidR="00062F6C">
        <w:rPr>
          <w:rFonts w:ascii="Times New Roman" w:hAnsi="Times New Roman" w:cs="Times New Roman"/>
          <w:i/>
          <w:iCs/>
        </w:rPr>
        <w:t>Rule of Law</w:t>
      </w:r>
      <w:r w:rsidR="00B54706" w:rsidRPr="00A06821">
        <w:rPr>
          <w:rFonts w:ascii="Times New Roman" w:hAnsi="Times New Roman" w:cs="Times New Roman"/>
          <w:i/>
          <w:iCs/>
        </w:rPr>
        <w:t xml:space="preserve"> within the Union. A blueprint for action</w:t>
      </w:r>
      <w:r w:rsidR="00B54706" w:rsidRPr="00A06821">
        <w:rPr>
          <w:rFonts w:ascii="Times New Roman" w:hAnsi="Times New Roman" w:cs="Times New Roman"/>
        </w:rPr>
        <w:t xml:space="preserve">, </w:t>
      </w:r>
      <w:r w:rsidR="00AE63E7" w:rsidRPr="00A06821">
        <w:rPr>
          <w:rFonts w:ascii="Times New Roman" w:hAnsi="Times New Roman" w:cs="Times New Roman"/>
        </w:rPr>
        <w:t>17.07.</w:t>
      </w:r>
      <w:r w:rsidR="00B54706" w:rsidRPr="00A06821">
        <w:rPr>
          <w:rFonts w:ascii="Times New Roman" w:hAnsi="Times New Roman" w:cs="Times New Roman"/>
        </w:rPr>
        <w:t>2019</w:t>
      </w:r>
    </w:p>
  </w:footnote>
  <w:footnote w:id="9">
    <w:p w14:paraId="6BE10CF1" w14:textId="1858744A" w:rsidR="00BC6FFC" w:rsidRPr="00A06821" w:rsidRDefault="00BC6FF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COM(2019) 163 final, Communication from the Commission to the European Parliament, the European </w:t>
      </w:r>
      <w:r w:rsidR="009E45F1" w:rsidRPr="00A06821">
        <w:rPr>
          <w:rFonts w:ascii="Times New Roman" w:hAnsi="Times New Roman" w:cs="Times New Roman"/>
        </w:rPr>
        <w:t>Council,</w:t>
      </w:r>
      <w:r w:rsidRPr="00A06821">
        <w:rPr>
          <w:rFonts w:ascii="Times New Roman" w:hAnsi="Times New Roman" w:cs="Times New Roman"/>
        </w:rPr>
        <w:t xml:space="preserve"> and the Council</w:t>
      </w:r>
      <w:r w:rsidRPr="00A06821">
        <w:rPr>
          <w:rFonts w:ascii="Times New Roman" w:hAnsi="Times New Roman" w:cs="Times New Roman"/>
          <w:i/>
          <w:iCs/>
        </w:rPr>
        <w:t xml:space="preserve">, Further strengthening the </w:t>
      </w:r>
      <w:r w:rsidR="00062F6C">
        <w:rPr>
          <w:rFonts w:ascii="Times New Roman" w:hAnsi="Times New Roman" w:cs="Times New Roman"/>
          <w:i/>
          <w:iCs/>
        </w:rPr>
        <w:t>Rule of Law</w:t>
      </w:r>
      <w:r w:rsidRPr="00A06821">
        <w:rPr>
          <w:rFonts w:ascii="Times New Roman" w:hAnsi="Times New Roman" w:cs="Times New Roman"/>
          <w:i/>
          <w:iCs/>
        </w:rPr>
        <w:t xml:space="preserve"> within the Union</w:t>
      </w:r>
      <w:r w:rsidRPr="00A06821">
        <w:rPr>
          <w:rFonts w:ascii="Times New Roman" w:hAnsi="Times New Roman" w:cs="Times New Roman"/>
        </w:rPr>
        <w:t xml:space="preserve">, </w:t>
      </w:r>
      <w:r w:rsidR="00AE63E7" w:rsidRPr="00A06821">
        <w:rPr>
          <w:rFonts w:ascii="Times New Roman" w:hAnsi="Times New Roman" w:cs="Times New Roman"/>
        </w:rPr>
        <w:t>0</w:t>
      </w:r>
      <w:r w:rsidRPr="00A06821">
        <w:rPr>
          <w:rFonts w:ascii="Times New Roman" w:hAnsi="Times New Roman" w:cs="Times New Roman"/>
        </w:rPr>
        <w:t>3.</w:t>
      </w:r>
      <w:r w:rsidR="00AE63E7" w:rsidRPr="00A06821">
        <w:rPr>
          <w:rFonts w:ascii="Times New Roman" w:hAnsi="Times New Roman" w:cs="Times New Roman"/>
        </w:rPr>
        <w:t>0</w:t>
      </w:r>
      <w:r w:rsidRPr="00A06821">
        <w:rPr>
          <w:rFonts w:ascii="Times New Roman" w:hAnsi="Times New Roman" w:cs="Times New Roman"/>
        </w:rPr>
        <w:t>4.2019</w:t>
      </w:r>
      <w:r w:rsidR="00C94614" w:rsidRPr="00A06821">
        <w:rPr>
          <w:rFonts w:ascii="Times New Roman" w:hAnsi="Times New Roman" w:cs="Times New Roman"/>
        </w:rPr>
        <w:t xml:space="preserve">, and COM(2020) 580 final, 2020 </w:t>
      </w:r>
      <w:r w:rsidR="00062F6C">
        <w:rPr>
          <w:rFonts w:ascii="Times New Roman" w:hAnsi="Times New Roman" w:cs="Times New Roman"/>
        </w:rPr>
        <w:t>Rule of Law</w:t>
      </w:r>
      <w:r w:rsidR="00C94614" w:rsidRPr="00A06821">
        <w:rPr>
          <w:rFonts w:ascii="Times New Roman" w:hAnsi="Times New Roman" w:cs="Times New Roman"/>
        </w:rPr>
        <w:t xml:space="preserve"> Report. The </w:t>
      </w:r>
      <w:r w:rsidR="00062F6C">
        <w:rPr>
          <w:rFonts w:ascii="Times New Roman" w:hAnsi="Times New Roman" w:cs="Times New Roman"/>
        </w:rPr>
        <w:t>Rule of Law</w:t>
      </w:r>
      <w:r w:rsidR="00C94614" w:rsidRPr="00A06821">
        <w:rPr>
          <w:rFonts w:ascii="Times New Roman" w:hAnsi="Times New Roman" w:cs="Times New Roman"/>
        </w:rPr>
        <w:t xml:space="preserve"> situation </w:t>
      </w:r>
      <w:r w:rsidR="003622E7" w:rsidRPr="00A06821">
        <w:rPr>
          <w:rFonts w:ascii="Times New Roman" w:hAnsi="Times New Roman" w:cs="Times New Roman"/>
        </w:rPr>
        <w:t>in the European Union</w:t>
      </w:r>
      <w:r w:rsidRPr="00A06821">
        <w:rPr>
          <w:rFonts w:ascii="Times New Roman" w:hAnsi="Times New Roman" w:cs="Times New Roman"/>
        </w:rPr>
        <w:t>.</w:t>
      </w:r>
      <w:r w:rsidR="00122097" w:rsidRPr="00A06821">
        <w:rPr>
          <w:rFonts w:ascii="Times New Roman" w:hAnsi="Times New Roman" w:cs="Times New Roman"/>
        </w:rPr>
        <w:t xml:space="preserve"> See JANSE, R., </w:t>
      </w:r>
      <w:r w:rsidR="00582B15" w:rsidRPr="00A06821">
        <w:rPr>
          <w:rFonts w:ascii="Times New Roman" w:hAnsi="Times New Roman" w:cs="Times New Roman"/>
        </w:rPr>
        <w:t xml:space="preserve">«Is the European Commission a credible guardian of the values? A revisionist account of the Copenhagen political criteria during the Big Bang enlargement», </w:t>
      </w:r>
      <w:r w:rsidR="00582B15" w:rsidRPr="00A06821">
        <w:rPr>
          <w:rFonts w:ascii="Times New Roman" w:hAnsi="Times New Roman" w:cs="Times New Roman"/>
          <w:i/>
          <w:iCs/>
        </w:rPr>
        <w:t>International Journal of Constitutional Law</w:t>
      </w:r>
      <w:r w:rsidR="00582B15" w:rsidRPr="00A06821">
        <w:rPr>
          <w:rFonts w:ascii="Times New Roman" w:hAnsi="Times New Roman" w:cs="Times New Roman"/>
        </w:rPr>
        <w:t>, Volume 17, Issue 1, January 2019, pp. 43-65.</w:t>
      </w:r>
    </w:p>
  </w:footnote>
  <w:footnote w:id="10">
    <w:p w14:paraId="68B4A94A" w14:textId="740E175B" w:rsidR="000459AA" w:rsidRPr="00A06821" w:rsidRDefault="000459AA"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Implying a transparent, accountable, democratic, and pluralistic process for enacting laws.</w:t>
      </w:r>
      <w:r w:rsidR="001A17A6" w:rsidRPr="00A06821">
        <w:rPr>
          <w:rFonts w:ascii="Times New Roman" w:hAnsi="Times New Roman" w:cs="Times New Roman"/>
        </w:rPr>
        <w:t xml:space="preserve"> COM(2014) 158 final, Communication from the Commission to the European Parliament and the Council, A new EU Framework to strengthen the </w:t>
      </w:r>
      <w:r w:rsidR="00062F6C">
        <w:rPr>
          <w:rFonts w:ascii="Times New Roman" w:hAnsi="Times New Roman" w:cs="Times New Roman"/>
        </w:rPr>
        <w:t>Rule of Law</w:t>
      </w:r>
      <w:r w:rsidR="001A17A6" w:rsidRPr="00A06821">
        <w:rPr>
          <w:rFonts w:ascii="Times New Roman" w:hAnsi="Times New Roman" w:cs="Times New Roman"/>
        </w:rPr>
        <w:t>, 11.</w:t>
      </w:r>
      <w:r w:rsidR="00AE63E7" w:rsidRPr="00A06821">
        <w:rPr>
          <w:rFonts w:ascii="Times New Roman" w:hAnsi="Times New Roman" w:cs="Times New Roman"/>
        </w:rPr>
        <w:t>0</w:t>
      </w:r>
      <w:r w:rsidR="001A17A6" w:rsidRPr="00A06821">
        <w:rPr>
          <w:rFonts w:ascii="Times New Roman" w:hAnsi="Times New Roman" w:cs="Times New Roman"/>
        </w:rPr>
        <w:t>3.2014.</w:t>
      </w:r>
      <w:r w:rsidR="0077333A" w:rsidRPr="00A06821">
        <w:rPr>
          <w:rFonts w:ascii="Times New Roman" w:hAnsi="Times New Roman" w:cs="Times New Roman"/>
        </w:rPr>
        <w:t xml:space="preserve"> </w:t>
      </w:r>
      <w:r w:rsidR="003B7CC4">
        <w:rPr>
          <w:rFonts w:ascii="Times New Roman" w:hAnsi="Times New Roman" w:cs="Times New Roman"/>
        </w:rPr>
        <w:t>The principle</w:t>
      </w:r>
      <w:r w:rsidR="0077333A" w:rsidRPr="00A06821">
        <w:rPr>
          <w:rFonts w:ascii="Times New Roman" w:hAnsi="Times New Roman" w:cs="Times New Roman"/>
        </w:rPr>
        <w:t xml:space="preserve"> of legality corresponds to the idea of a government limited by law </w:t>
      </w:r>
      <w:r w:rsidR="00617806" w:rsidRPr="00A06821">
        <w:rPr>
          <w:rFonts w:ascii="Times New Roman" w:hAnsi="Times New Roman" w:cs="Times New Roman"/>
        </w:rPr>
        <w:t xml:space="preserve">(to reduce the arbitrariness of officials’ decisions) </w:t>
      </w:r>
      <w:r w:rsidR="0077333A" w:rsidRPr="00A06821">
        <w:rPr>
          <w:rFonts w:ascii="Times New Roman" w:hAnsi="Times New Roman" w:cs="Times New Roman"/>
        </w:rPr>
        <w:t xml:space="preserve">and whose officials </w:t>
      </w:r>
      <w:r w:rsidR="00AE175D" w:rsidRPr="00A06821">
        <w:rPr>
          <w:rFonts w:ascii="Times New Roman" w:hAnsi="Times New Roman" w:cs="Times New Roman"/>
        </w:rPr>
        <w:t>must</w:t>
      </w:r>
      <w:r w:rsidR="0077333A" w:rsidRPr="00A06821">
        <w:rPr>
          <w:rFonts w:ascii="Times New Roman" w:hAnsi="Times New Roman" w:cs="Times New Roman"/>
        </w:rPr>
        <w:t xml:space="preserve"> act </w:t>
      </w:r>
      <w:r w:rsidR="003B7CC4">
        <w:rPr>
          <w:rFonts w:ascii="Times New Roman" w:hAnsi="Times New Roman" w:cs="Times New Roman"/>
        </w:rPr>
        <w:t>following</w:t>
      </w:r>
      <w:r w:rsidR="0077333A" w:rsidRPr="00A06821">
        <w:rPr>
          <w:rFonts w:ascii="Times New Roman" w:hAnsi="Times New Roman" w:cs="Times New Roman"/>
        </w:rPr>
        <w:t xml:space="preserve"> the existing legal framework.</w:t>
      </w:r>
    </w:p>
  </w:footnote>
  <w:footnote w:id="11">
    <w:p w14:paraId="18A3A3B6" w14:textId="7368B255" w:rsidR="000459AA" w:rsidRPr="00A06821" w:rsidRDefault="000459AA"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Requiring that “rules are clear and predictable and cannot be retrospectively changed</w:t>
      </w:r>
      <w:r w:rsidR="00D86F4B" w:rsidRPr="00A06821">
        <w:rPr>
          <w:rFonts w:ascii="Times New Roman" w:hAnsi="Times New Roman" w:cs="Times New Roman"/>
        </w:rPr>
        <w:t>.”</w:t>
      </w:r>
      <w:r w:rsidR="001A17A6" w:rsidRPr="00A06821">
        <w:rPr>
          <w:rFonts w:ascii="Times New Roman" w:hAnsi="Times New Roman" w:cs="Times New Roman"/>
        </w:rPr>
        <w:t xml:space="preserve"> COM(2014) 158 final, </w:t>
      </w:r>
      <w:r w:rsidR="001A17A6" w:rsidRPr="00A06821">
        <w:rPr>
          <w:rFonts w:ascii="Times New Roman" w:hAnsi="Times New Roman" w:cs="Times New Roman"/>
          <w:i/>
          <w:iCs/>
        </w:rPr>
        <w:t>cit.</w:t>
      </w:r>
    </w:p>
  </w:footnote>
  <w:footnote w:id="12">
    <w:p w14:paraId="5072F7A8" w14:textId="78C288A7" w:rsidR="00723B92" w:rsidRPr="00A06821" w:rsidRDefault="00723B92"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Involving</w:t>
      </w:r>
      <w:r w:rsidR="00134716" w:rsidRPr="00A06821">
        <w:rPr>
          <w:rFonts w:ascii="Times New Roman" w:hAnsi="Times New Roman" w:cs="Times New Roman"/>
        </w:rPr>
        <w:t xml:space="preserve"> respect</w:t>
      </w:r>
      <w:r w:rsidRPr="00A06821">
        <w:rPr>
          <w:rFonts w:ascii="Times New Roman" w:hAnsi="Times New Roman" w:cs="Times New Roman"/>
        </w:rPr>
        <w:t xml:space="preserve"> for private spheres of people’s lives and “protection against arbitrary and disproportionate intervention</w:t>
      </w:r>
      <w:r w:rsidR="00D86F4B" w:rsidRPr="00A06821">
        <w:rPr>
          <w:rFonts w:ascii="Times New Roman" w:hAnsi="Times New Roman" w:cs="Times New Roman"/>
        </w:rPr>
        <w:t>.”</w:t>
      </w:r>
      <w:r w:rsidR="001A17A6" w:rsidRPr="00A06821">
        <w:rPr>
          <w:rFonts w:ascii="Times New Roman" w:hAnsi="Times New Roman" w:cs="Times New Roman"/>
        </w:rPr>
        <w:t xml:space="preserve"> COM(2014) 158 final, </w:t>
      </w:r>
      <w:r w:rsidR="001A17A6" w:rsidRPr="00A06821">
        <w:rPr>
          <w:rFonts w:ascii="Times New Roman" w:hAnsi="Times New Roman" w:cs="Times New Roman"/>
          <w:i/>
          <w:iCs/>
        </w:rPr>
        <w:t>cit.</w:t>
      </w:r>
    </w:p>
  </w:footnote>
  <w:footnote w:id="13">
    <w:p w14:paraId="740295BC" w14:textId="55F0039A" w:rsidR="001A17A6" w:rsidRPr="00A06821" w:rsidRDefault="001A17A6"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COM(2014) 158 final, </w:t>
      </w:r>
      <w:r w:rsidRPr="00A06821">
        <w:rPr>
          <w:rFonts w:ascii="Times New Roman" w:hAnsi="Times New Roman" w:cs="Times New Roman"/>
          <w:i/>
          <w:iCs/>
        </w:rPr>
        <w:t>cit.</w:t>
      </w:r>
    </w:p>
  </w:footnote>
  <w:footnote w:id="14">
    <w:p w14:paraId="29AFF57E" w14:textId="47BFDAFE" w:rsidR="00A66ED9" w:rsidRPr="00A06821" w:rsidRDefault="00A66ED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A7363D" w:rsidRPr="00A06821">
        <w:rPr>
          <w:rFonts w:ascii="Times New Roman" w:hAnsi="Times New Roman" w:cs="Times New Roman"/>
        </w:rPr>
        <w:t>The European Court of Justice (CJEU) and the European Court of Human Rights (ECtHR) have recognized these principles</w:t>
      </w:r>
      <w:r w:rsidR="00094325" w:rsidRPr="00A06821">
        <w:rPr>
          <w:rFonts w:ascii="Times New Roman" w:hAnsi="Times New Roman" w:cs="Times New Roman"/>
        </w:rPr>
        <w:t xml:space="preserve">. </w:t>
      </w:r>
      <w:r w:rsidR="001A17A6" w:rsidRPr="00A06821">
        <w:rPr>
          <w:rFonts w:ascii="Times New Roman" w:hAnsi="Times New Roman" w:cs="Times New Roman"/>
        </w:rPr>
        <w:t xml:space="preserve">COM(2014) 158 final, </w:t>
      </w:r>
      <w:r w:rsidR="001A17A6" w:rsidRPr="00A06821">
        <w:rPr>
          <w:rFonts w:ascii="Times New Roman" w:hAnsi="Times New Roman" w:cs="Times New Roman"/>
          <w:i/>
          <w:iCs/>
        </w:rPr>
        <w:t>cit.</w:t>
      </w:r>
      <w:r w:rsidR="00094325" w:rsidRPr="00A06821">
        <w:rPr>
          <w:rFonts w:ascii="Times New Roman" w:hAnsi="Times New Roman" w:cs="Times New Roman"/>
        </w:rPr>
        <w:t>, Annex</w:t>
      </w:r>
      <w:r w:rsidRPr="00A06821">
        <w:rPr>
          <w:rFonts w:ascii="Times New Roman" w:hAnsi="Times New Roman" w:cs="Times New Roman"/>
        </w:rPr>
        <w:t xml:space="preserve">, and recent case law of the </w:t>
      </w:r>
      <w:r w:rsidR="00835548" w:rsidRPr="00A06821">
        <w:rPr>
          <w:rFonts w:ascii="Times New Roman" w:hAnsi="Times New Roman" w:cs="Times New Roman"/>
        </w:rPr>
        <w:t>CJEU</w:t>
      </w:r>
      <w:r w:rsidRPr="00A06821">
        <w:rPr>
          <w:rFonts w:ascii="Times New Roman" w:hAnsi="Times New Roman" w:cs="Times New Roman"/>
        </w:rPr>
        <w:t>, Case</w:t>
      </w:r>
      <w:r w:rsidR="00094325" w:rsidRPr="00A06821">
        <w:rPr>
          <w:rFonts w:ascii="Times New Roman" w:hAnsi="Times New Roman" w:cs="Times New Roman"/>
        </w:rPr>
        <w:t>s</w:t>
      </w:r>
      <w:r w:rsidRPr="00A06821">
        <w:rPr>
          <w:rFonts w:ascii="Times New Roman" w:hAnsi="Times New Roman" w:cs="Times New Roman"/>
        </w:rPr>
        <w:t xml:space="preserve"> C-64/16, </w:t>
      </w:r>
      <w:r w:rsidR="007941C2" w:rsidRPr="00A06821">
        <w:rPr>
          <w:rFonts w:ascii="Times New Roman" w:hAnsi="Times New Roman" w:cs="Times New Roman"/>
        </w:rPr>
        <w:t xml:space="preserve">Associação </w:t>
      </w:r>
      <w:r w:rsidRPr="00A06821">
        <w:rPr>
          <w:rFonts w:ascii="Times New Roman" w:hAnsi="Times New Roman" w:cs="Times New Roman"/>
        </w:rPr>
        <w:t xml:space="preserve">Sindical dos Juízes Portugueses </w:t>
      </w:r>
      <w:r w:rsidRPr="00A06821">
        <w:rPr>
          <w:rFonts w:ascii="Times New Roman" w:hAnsi="Times New Roman" w:cs="Times New Roman"/>
          <w:i/>
          <w:iCs/>
        </w:rPr>
        <w:t>v.</w:t>
      </w:r>
      <w:r w:rsidRPr="00A06821">
        <w:rPr>
          <w:rFonts w:ascii="Times New Roman" w:hAnsi="Times New Roman" w:cs="Times New Roman"/>
        </w:rPr>
        <w:t xml:space="preserve"> Tribunal de Contas; C 216/18 PPU, LM, case C-619/18, Commission v Poland (order of 17 December 2018)</w:t>
      </w:r>
      <w:r w:rsidR="007941C2" w:rsidRPr="00A06821">
        <w:rPr>
          <w:rFonts w:ascii="Times New Roman" w:hAnsi="Times New Roman" w:cs="Times New Roman"/>
        </w:rPr>
        <w:t xml:space="preserve"> and C-156/21, where the Court of Justice </w:t>
      </w:r>
      <w:r w:rsidR="00AF539A" w:rsidRPr="00A06821">
        <w:rPr>
          <w:rFonts w:ascii="Times New Roman" w:hAnsi="Times New Roman" w:cs="Times New Roman"/>
        </w:rPr>
        <w:t xml:space="preserve">stated that the principles of </w:t>
      </w:r>
      <w:r w:rsidR="00062F6C">
        <w:rPr>
          <w:rFonts w:ascii="Times New Roman" w:hAnsi="Times New Roman" w:cs="Times New Roman"/>
        </w:rPr>
        <w:t>Rule of Law</w:t>
      </w:r>
      <w:r w:rsidR="00AF539A" w:rsidRPr="00A06821">
        <w:rPr>
          <w:rFonts w:ascii="Times New Roman" w:hAnsi="Times New Roman" w:cs="Times New Roman"/>
        </w:rPr>
        <w:t xml:space="preserve"> have their </w:t>
      </w:r>
      <w:r w:rsidR="00CA74A8" w:rsidRPr="00A06821">
        <w:rPr>
          <w:rFonts w:ascii="Times New Roman" w:hAnsi="Times New Roman" w:cs="Times New Roman"/>
        </w:rPr>
        <w:t xml:space="preserve">source in common values which are also </w:t>
      </w:r>
      <w:r w:rsidR="00595D45" w:rsidRPr="00A06821">
        <w:rPr>
          <w:rFonts w:ascii="Times New Roman" w:hAnsi="Times New Roman" w:cs="Times New Roman"/>
        </w:rPr>
        <w:t>recognized</w:t>
      </w:r>
      <w:r w:rsidR="00243DCD" w:rsidRPr="00A06821">
        <w:rPr>
          <w:rFonts w:ascii="Times New Roman" w:hAnsi="Times New Roman" w:cs="Times New Roman"/>
        </w:rPr>
        <w:t xml:space="preserve"> and applied by the </w:t>
      </w:r>
      <w:r w:rsidR="00062F6C">
        <w:rPr>
          <w:rFonts w:ascii="Times New Roman" w:hAnsi="Times New Roman" w:cs="Times New Roman"/>
        </w:rPr>
        <w:t>Member States</w:t>
      </w:r>
      <w:r w:rsidR="00243DCD" w:rsidRPr="00A06821">
        <w:rPr>
          <w:rFonts w:ascii="Times New Roman" w:hAnsi="Times New Roman" w:cs="Times New Roman"/>
        </w:rPr>
        <w:t xml:space="preserve"> in their legal systems (p. 236-237).</w:t>
      </w:r>
    </w:p>
  </w:footnote>
  <w:footnote w:id="15">
    <w:p w14:paraId="11323C75" w14:textId="2AD4D6BA" w:rsidR="00DB2048" w:rsidRPr="00A06821" w:rsidRDefault="00DB2048"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C-156/21 e C-157/21.</w:t>
      </w:r>
      <w:r w:rsidR="003D05A9" w:rsidRPr="00A06821">
        <w:rPr>
          <w:rFonts w:ascii="Times New Roman" w:hAnsi="Times New Roman" w:cs="Times New Roman"/>
        </w:rPr>
        <w:t xml:space="preserve"> Hungary and Poland brought the cases (actions for annulment</w:t>
      </w:r>
      <w:r w:rsidR="0067654C" w:rsidRPr="00A06821">
        <w:rPr>
          <w:rFonts w:ascii="Times New Roman" w:hAnsi="Times New Roman" w:cs="Times New Roman"/>
        </w:rPr>
        <w:t>)</w:t>
      </w:r>
      <w:r w:rsidR="003D05A9" w:rsidRPr="00A06821">
        <w:rPr>
          <w:rFonts w:ascii="Times New Roman" w:hAnsi="Times New Roman" w:cs="Times New Roman"/>
        </w:rPr>
        <w:t xml:space="preserve"> after the EU invoked </w:t>
      </w:r>
      <w:r w:rsidR="0067654C" w:rsidRPr="00A06821">
        <w:rPr>
          <w:rFonts w:ascii="Times New Roman" w:hAnsi="Times New Roman" w:cs="Times New Roman"/>
        </w:rPr>
        <w:t>R</w:t>
      </w:r>
      <w:r w:rsidR="003D05A9" w:rsidRPr="00A06821">
        <w:rPr>
          <w:rFonts w:ascii="Times New Roman" w:hAnsi="Times New Roman" w:cs="Times New Roman"/>
        </w:rPr>
        <w:t>egulation</w:t>
      </w:r>
      <w:r w:rsidR="0067654C" w:rsidRPr="00A06821">
        <w:rPr>
          <w:rFonts w:ascii="Times New Roman" w:hAnsi="Times New Roman" w:cs="Times New Roman"/>
        </w:rPr>
        <w:t xml:space="preserve"> 2020/2092</w:t>
      </w:r>
      <w:r w:rsidR="003D05A9" w:rsidRPr="00A06821">
        <w:rPr>
          <w:rFonts w:ascii="Times New Roman" w:hAnsi="Times New Roman" w:cs="Times New Roman"/>
        </w:rPr>
        <w:t xml:space="preserve"> </w:t>
      </w:r>
      <w:r w:rsidR="0067654C" w:rsidRPr="00A06821">
        <w:rPr>
          <w:rFonts w:ascii="Times New Roman" w:hAnsi="Times New Roman" w:cs="Times New Roman"/>
        </w:rPr>
        <w:t>(rule-of-law conditionality mechanism)</w:t>
      </w:r>
      <w:r w:rsidR="003B7CC4">
        <w:rPr>
          <w:rFonts w:ascii="Times New Roman" w:hAnsi="Times New Roman" w:cs="Times New Roman"/>
        </w:rPr>
        <w:t>,</w:t>
      </w:r>
      <w:r w:rsidR="0067654C" w:rsidRPr="00A06821">
        <w:rPr>
          <w:rFonts w:ascii="Times New Roman" w:hAnsi="Times New Roman" w:cs="Times New Roman"/>
        </w:rPr>
        <w:t xml:space="preserve"> </w:t>
      </w:r>
      <w:r w:rsidR="003D05A9" w:rsidRPr="00A06821">
        <w:rPr>
          <w:rFonts w:ascii="Times New Roman" w:hAnsi="Times New Roman" w:cs="Times New Roman"/>
        </w:rPr>
        <w:t xml:space="preserve">tying EU funds to respect for judicial independence and the </w:t>
      </w:r>
      <w:r w:rsidR="00062F6C">
        <w:rPr>
          <w:rFonts w:ascii="Times New Roman" w:hAnsi="Times New Roman" w:cs="Times New Roman"/>
        </w:rPr>
        <w:t>Rule of Law</w:t>
      </w:r>
      <w:r w:rsidR="003D05A9" w:rsidRPr="00A06821">
        <w:rPr>
          <w:rFonts w:ascii="Times New Roman" w:hAnsi="Times New Roman" w:cs="Times New Roman"/>
        </w:rPr>
        <w:t xml:space="preserve">. </w:t>
      </w:r>
      <w:r w:rsidR="0067654C" w:rsidRPr="00A06821">
        <w:rPr>
          <w:rFonts w:ascii="Times New Roman" w:hAnsi="Times New Roman" w:cs="Times New Roman"/>
        </w:rPr>
        <w:t>T</w:t>
      </w:r>
      <w:r w:rsidR="003D05A9" w:rsidRPr="00A06821">
        <w:rPr>
          <w:rFonts w:ascii="Times New Roman" w:hAnsi="Times New Roman" w:cs="Times New Roman"/>
        </w:rPr>
        <w:t xml:space="preserve">he CJEU ruled that </w:t>
      </w:r>
      <w:r w:rsidR="00062F6C">
        <w:rPr>
          <w:rFonts w:ascii="Times New Roman" w:hAnsi="Times New Roman" w:cs="Times New Roman"/>
        </w:rPr>
        <w:t>Member States</w:t>
      </w:r>
      <w:r w:rsidR="003D05A9" w:rsidRPr="00A06821">
        <w:rPr>
          <w:rFonts w:ascii="Times New Roman" w:hAnsi="Times New Roman" w:cs="Times New Roman"/>
        </w:rPr>
        <w:t xml:space="preserve"> can be deprived of EU funding when they fail to meet democratic standards. Reasoning that the financial interests of the Union depended on respect for independent courts and the </w:t>
      </w:r>
      <w:r w:rsidR="00062F6C">
        <w:rPr>
          <w:rFonts w:ascii="Times New Roman" w:hAnsi="Times New Roman" w:cs="Times New Roman"/>
        </w:rPr>
        <w:t>Rule of Law</w:t>
      </w:r>
      <w:r w:rsidR="003D05A9" w:rsidRPr="00A06821">
        <w:rPr>
          <w:rFonts w:ascii="Times New Roman" w:hAnsi="Times New Roman" w:cs="Times New Roman"/>
        </w:rPr>
        <w:t xml:space="preserve"> across the bloc, the CJEU ruled against Poland and Hungary.</w:t>
      </w:r>
      <w:r w:rsidR="0067654C" w:rsidRPr="00A06821">
        <w:rPr>
          <w:rFonts w:ascii="Times New Roman" w:hAnsi="Times New Roman" w:cs="Times New Roman"/>
        </w:rPr>
        <w:t xml:space="preserve"> See </w:t>
      </w:r>
      <w:r w:rsidR="00136200" w:rsidRPr="00A06821">
        <w:rPr>
          <w:rFonts w:ascii="Times New Roman" w:hAnsi="Times New Roman" w:cs="Times New Roman"/>
        </w:rPr>
        <w:t>TOLLEY, M. C., The Protection of Judicial Independence in Europe: The Roles of the European Court of Human Rights and the Court of Justice of The European Union.</w:t>
      </w:r>
    </w:p>
  </w:footnote>
  <w:footnote w:id="16">
    <w:p w14:paraId="050E47A5" w14:textId="2E164A5B" w:rsidR="00FD012C" w:rsidRPr="00A06821" w:rsidRDefault="00FD012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Special Eurobarometer 517 Report on the Future of Europe, 25.01.2022, p. 33:</w:t>
      </w:r>
      <w:r w:rsidR="00025432" w:rsidRPr="00A06821">
        <w:rPr>
          <w:rFonts w:ascii="Times New Roman" w:hAnsi="Times New Roman" w:cs="Times New Roman"/>
        </w:rPr>
        <w:t xml:space="preserve"> the EU’s respect for </w:t>
      </w:r>
      <w:r w:rsidR="003B7CC4">
        <w:rPr>
          <w:rFonts w:ascii="Times New Roman" w:hAnsi="Times New Roman" w:cs="Times New Roman"/>
        </w:rPr>
        <w:t xml:space="preserve">the </w:t>
      </w:r>
      <w:r w:rsidR="00062F6C">
        <w:rPr>
          <w:rFonts w:ascii="Times New Roman" w:hAnsi="Times New Roman" w:cs="Times New Roman"/>
        </w:rPr>
        <w:t>Rule of Law</w:t>
      </w:r>
      <w:r w:rsidR="00025432" w:rsidRPr="00A06821">
        <w:rPr>
          <w:rFonts w:ascii="Times New Roman" w:hAnsi="Times New Roman" w:cs="Times New Roman"/>
        </w:rPr>
        <w:t>, democracy and human rights was considered the EU’s main asset by 27% of the respondents. Economic, industrial</w:t>
      </w:r>
      <w:r w:rsidR="003B7CC4">
        <w:rPr>
          <w:rFonts w:ascii="Times New Roman" w:hAnsi="Times New Roman" w:cs="Times New Roman"/>
        </w:rPr>
        <w:t>,</w:t>
      </w:r>
      <w:r w:rsidR="00025432" w:rsidRPr="00A06821">
        <w:rPr>
          <w:rFonts w:ascii="Times New Roman" w:hAnsi="Times New Roman" w:cs="Times New Roman"/>
        </w:rPr>
        <w:t xml:space="preserve"> and trading power </w:t>
      </w:r>
      <w:r w:rsidR="00606402" w:rsidRPr="00A06821">
        <w:rPr>
          <w:rFonts w:ascii="Times New Roman" w:hAnsi="Times New Roman" w:cs="Times New Roman"/>
        </w:rPr>
        <w:t xml:space="preserve">have </w:t>
      </w:r>
      <w:r w:rsidR="00025432" w:rsidRPr="00A06821">
        <w:rPr>
          <w:rFonts w:ascii="Times New Roman" w:hAnsi="Times New Roman" w:cs="Times New Roman"/>
        </w:rPr>
        <w:t xml:space="preserve">reached </w:t>
      </w:r>
      <w:r w:rsidR="00606402" w:rsidRPr="00A06821">
        <w:rPr>
          <w:rFonts w:ascii="Times New Roman" w:hAnsi="Times New Roman" w:cs="Times New Roman"/>
        </w:rPr>
        <w:t>25%.</w:t>
      </w:r>
    </w:p>
  </w:footnote>
  <w:footnote w:id="17">
    <w:p w14:paraId="66F0F4B4" w14:textId="00A014A4" w:rsidR="00595D45" w:rsidRPr="00A06821" w:rsidRDefault="00F43740"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First, it is the idea of government limited by law (principle of legality). Limited government is considered a crucial element to reducing the arbitrariness of “officials” decisions. A second element requires that laws must be laid down in advance, they must be general, and they must be publicly available. A third element is the </w:t>
      </w:r>
      <w:r w:rsidR="00062F6C">
        <w:rPr>
          <w:rFonts w:ascii="Times New Roman" w:hAnsi="Times New Roman" w:cs="Times New Roman"/>
        </w:rPr>
        <w:t>Rule of Law</w:t>
      </w:r>
      <w:r w:rsidRPr="00A06821">
        <w:rPr>
          <w:rFonts w:ascii="Times New Roman" w:hAnsi="Times New Roman" w:cs="Times New Roman"/>
        </w:rPr>
        <w:t xml:space="preserve"> requirement for access to an independent and unbiased judiciary. MANKO, R., </w:t>
      </w:r>
      <w:r w:rsidRPr="00A06821">
        <w:rPr>
          <w:rFonts w:ascii="Times New Roman" w:hAnsi="Times New Roman" w:cs="Times New Roman"/>
          <w:i/>
          <w:iCs/>
        </w:rPr>
        <w:t xml:space="preserve">Protecting the </w:t>
      </w:r>
      <w:r w:rsidR="00062F6C">
        <w:rPr>
          <w:rFonts w:ascii="Times New Roman" w:hAnsi="Times New Roman" w:cs="Times New Roman"/>
          <w:i/>
          <w:iCs/>
        </w:rPr>
        <w:t>Rule of Law</w:t>
      </w:r>
      <w:r w:rsidRPr="00A06821">
        <w:rPr>
          <w:rFonts w:ascii="Times New Roman" w:hAnsi="Times New Roman" w:cs="Times New Roman"/>
          <w:i/>
          <w:iCs/>
        </w:rPr>
        <w:t xml:space="preserve"> in the EU. Existing mechanisms and possible improvements</w:t>
      </w:r>
      <w:r w:rsidRPr="00A06821">
        <w:rPr>
          <w:rFonts w:ascii="Times New Roman" w:hAnsi="Times New Roman" w:cs="Times New Roman"/>
        </w:rPr>
        <w:t>, European Parliamentary Research Service, November 2019,</w:t>
      </w:r>
    </w:p>
    <w:p w14:paraId="6A2A5762" w14:textId="12EDF25B" w:rsidR="00F43740" w:rsidRPr="00A06821" w:rsidRDefault="000D24B1" w:rsidP="00987497">
      <w:pPr>
        <w:pStyle w:val="Textonotapie"/>
        <w:jc w:val="both"/>
        <w:rPr>
          <w:rFonts w:ascii="Times New Roman" w:hAnsi="Times New Roman" w:cs="Times New Roman"/>
        </w:rPr>
      </w:pPr>
      <w:hyperlink r:id="rId2" w:history="1">
        <w:r w:rsidR="00595D45" w:rsidRPr="00A06821">
          <w:rPr>
            <w:rStyle w:val="Hipervnculo"/>
            <w:rFonts w:ascii="Times New Roman" w:hAnsi="Times New Roman" w:cs="Times New Roman"/>
          </w:rPr>
          <w:t>https://www.europarl.europa.eu/RegData/etudes/BRIE/2019/642280/EPRS_BRI(2019)642280_EN.pdf</w:t>
        </w:r>
      </w:hyperlink>
    </w:p>
  </w:footnote>
  <w:footnote w:id="18">
    <w:p w14:paraId="6614BFCE" w14:textId="6D0E4457" w:rsidR="00487E4B" w:rsidRPr="00A06821" w:rsidRDefault="00487E4B"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MOLITERNO, J. and CUROS, P., «Recent Attacks on Judicial Independence: The Vulgar, the Systemic, and the Insidious», </w:t>
      </w:r>
      <w:r w:rsidRPr="00A06821">
        <w:rPr>
          <w:rFonts w:ascii="Times New Roman" w:hAnsi="Times New Roman" w:cs="Times New Roman"/>
          <w:i/>
          <w:iCs/>
        </w:rPr>
        <w:t>German Law Journal</w:t>
      </w:r>
      <w:r w:rsidRPr="00A06821">
        <w:rPr>
          <w:rFonts w:ascii="Times New Roman" w:hAnsi="Times New Roman" w:cs="Times New Roman"/>
        </w:rPr>
        <w:t xml:space="preserve"> (2021), 22, pp. 1159-1191.</w:t>
      </w:r>
    </w:p>
  </w:footnote>
  <w:footnote w:id="19">
    <w:p w14:paraId="203BB8A9" w14:textId="77777777" w:rsidR="00F43740" w:rsidRPr="00A06821" w:rsidRDefault="00F43740" w:rsidP="00987497">
      <w:pPr>
        <w:pStyle w:val="Textonotapie"/>
        <w:jc w:val="both"/>
        <w:rPr>
          <w:rFonts w:ascii="Times New Roman" w:hAnsi="Times New Roman" w:cs="Times New Roman"/>
          <w:lang w:val="pt-PT"/>
        </w:rPr>
      </w:pPr>
      <w:r w:rsidRPr="00A06821">
        <w:rPr>
          <w:rStyle w:val="Refdenotaalpie"/>
          <w:rFonts w:ascii="Times New Roman" w:hAnsi="Times New Roman" w:cs="Times New Roman"/>
        </w:rPr>
        <w:footnoteRef/>
      </w:r>
      <w:r w:rsidRPr="00A06821">
        <w:rPr>
          <w:rFonts w:ascii="Times New Roman" w:hAnsi="Times New Roman" w:cs="Times New Roman"/>
          <w:lang w:val="pt-PT"/>
        </w:rPr>
        <w:t xml:space="preserve"> Case C-64/16, Associação Sindical dos Juízes Portugueses, p. 31.</w:t>
      </w:r>
    </w:p>
  </w:footnote>
  <w:footnote w:id="20">
    <w:p w14:paraId="2E27F1C1" w14:textId="77777777" w:rsidR="00F43740" w:rsidRPr="00A06821" w:rsidRDefault="00F43740" w:rsidP="00987497">
      <w:pPr>
        <w:spacing w:after="0" w:line="240" w:lineRule="auto"/>
        <w:jc w:val="both"/>
        <w:rPr>
          <w:rFonts w:ascii="Times New Roman" w:hAnsi="Times New Roman" w:cs="Times New Roman"/>
          <w:sz w:val="20"/>
          <w:szCs w:val="20"/>
        </w:rPr>
      </w:pPr>
      <w:r w:rsidRPr="00A06821">
        <w:rPr>
          <w:rStyle w:val="Refdenotaalpie"/>
          <w:rFonts w:ascii="Times New Roman" w:hAnsi="Times New Roman" w:cs="Times New Roman"/>
          <w:sz w:val="20"/>
          <w:szCs w:val="20"/>
        </w:rPr>
        <w:footnoteRef/>
      </w:r>
      <w:r w:rsidRPr="00A06821">
        <w:rPr>
          <w:rFonts w:ascii="Times New Roman" w:hAnsi="Times New Roman" w:cs="Times New Roman"/>
          <w:sz w:val="20"/>
          <w:szCs w:val="20"/>
        </w:rPr>
        <w:t xml:space="preserve"> Case C-72/15, Rosneft, p. 73.</w:t>
      </w:r>
    </w:p>
  </w:footnote>
  <w:footnote w:id="21">
    <w:p w14:paraId="65F1AA91" w14:textId="77777777" w:rsidR="00595D45" w:rsidRPr="00A06821" w:rsidRDefault="00426976"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A26AA1" w:rsidRPr="00A06821">
        <w:rPr>
          <w:rFonts w:ascii="Times New Roman" w:hAnsi="Times New Roman" w:cs="Times New Roman"/>
        </w:rPr>
        <w:t xml:space="preserve">MANKO, R., </w:t>
      </w:r>
      <w:r w:rsidR="00A26AA1" w:rsidRPr="00A06821">
        <w:rPr>
          <w:rFonts w:ascii="Times New Roman" w:hAnsi="Times New Roman" w:cs="Times New Roman"/>
          <w:i/>
          <w:iCs/>
        </w:rPr>
        <w:t>European Court of Justice case-law on judicial independence</w:t>
      </w:r>
      <w:r w:rsidR="00A26AA1" w:rsidRPr="00A06821">
        <w:rPr>
          <w:rFonts w:ascii="Times New Roman" w:hAnsi="Times New Roman" w:cs="Times New Roman"/>
        </w:rPr>
        <w:t xml:space="preserve">, </w:t>
      </w:r>
      <w:r w:rsidR="00704F10" w:rsidRPr="00A06821">
        <w:rPr>
          <w:rFonts w:ascii="Times New Roman" w:hAnsi="Times New Roman" w:cs="Times New Roman"/>
        </w:rPr>
        <w:t>European Parliamentary Research Service</w:t>
      </w:r>
      <w:r w:rsidR="00A26AA1" w:rsidRPr="00A06821">
        <w:rPr>
          <w:rFonts w:ascii="Times New Roman" w:hAnsi="Times New Roman" w:cs="Times New Roman"/>
        </w:rPr>
        <w:t>, July 2021,</w:t>
      </w:r>
    </w:p>
    <w:p w14:paraId="4C81A29C" w14:textId="395C560E" w:rsidR="00426976" w:rsidRPr="00A06821" w:rsidRDefault="00704F10" w:rsidP="00987497">
      <w:pPr>
        <w:pStyle w:val="Textonotapie"/>
        <w:jc w:val="both"/>
        <w:rPr>
          <w:rFonts w:ascii="Times New Roman" w:hAnsi="Times New Roman" w:cs="Times New Roman"/>
        </w:rPr>
      </w:pPr>
      <w:r w:rsidRPr="00A06821">
        <w:rPr>
          <w:rFonts w:ascii="Times New Roman" w:hAnsi="Times New Roman" w:cs="Times New Roman"/>
        </w:rPr>
        <w:t>https://www.europarl.europa.eu/RegData/etudes/BRIE/2021/696173/EPRS_BRI(2021)696173_EN.pdf</w:t>
      </w:r>
    </w:p>
  </w:footnote>
  <w:footnote w:id="22">
    <w:p w14:paraId="55492167" w14:textId="57CA16CB" w:rsidR="00FD2D79" w:rsidRPr="00A06821" w:rsidRDefault="00FD2D7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MANKO, R., </w:t>
      </w:r>
      <w:r w:rsidRPr="00A06821">
        <w:rPr>
          <w:rFonts w:ascii="Times New Roman" w:hAnsi="Times New Roman" w:cs="Times New Roman"/>
          <w:i/>
          <w:iCs/>
        </w:rPr>
        <w:t>Council of Europe standards on judicial independence</w:t>
      </w:r>
      <w:r w:rsidRPr="00A06821">
        <w:rPr>
          <w:rFonts w:ascii="Times New Roman" w:hAnsi="Times New Roman" w:cs="Times New Roman"/>
        </w:rPr>
        <w:t>, European Parliamentary Research Service, May 2021, https://www.europarl.europa.eu/thinktank/en/document/EPRS_BRI(2021)690623</w:t>
      </w:r>
    </w:p>
  </w:footnote>
  <w:footnote w:id="23">
    <w:p w14:paraId="21D5C01B" w14:textId="33BF7E06" w:rsidR="009D5B66" w:rsidRPr="00A06821" w:rsidRDefault="009D5B66"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BÁRD, P., «In courts we trust, or should we? Judicial independence as the precondition for the effectiveness of EU law», </w:t>
      </w:r>
      <w:r w:rsidRPr="00A06821">
        <w:rPr>
          <w:rFonts w:ascii="Times New Roman" w:hAnsi="Times New Roman" w:cs="Times New Roman"/>
          <w:i/>
          <w:iCs/>
        </w:rPr>
        <w:t>European Law Journal</w:t>
      </w:r>
      <w:r w:rsidRPr="00A06821">
        <w:rPr>
          <w:rFonts w:ascii="Times New Roman" w:hAnsi="Times New Roman" w:cs="Times New Roman"/>
        </w:rPr>
        <w:t>, 2022, pp. 1-26.</w:t>
      </w:r>
    </w:p>
  </w:footnote>
  <w:footnote w:id="24">
    <w:p w14:paraId="14FC13B5" w14:textId="3E28643E" w:rsidR="00A22A7F" w:rsidRPr="00A06821" w:rsidRDefault="00A22A7F"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MASTRACCI, M., «Judicial Independence: European Standards, ECtHR Criteria and the Reshuffling Plan of the Judiciary Bodies in Poland», </w:t>
      </w:r>
      <w:r w:rsidRPr="00A06821">
        <w:rPr>
          <w:rFonts w:ascii="Times New Roman" w:hAnsi="Times New Roman" w:cs="Times New Roman"/>
          <w:i/>
          <w:iCs/>
        </w:rPr>
        <w:t>Athens Journal of Law</w:t>
      </w:r>
      <w:r w:rsidRPr="00A06821">
        <w:rPr>
          <w:rFonts w:ascii="Times New Roman" w:hAnsi="Times New Roman" w:cs="Times New Roman"/>
        </w:rPr>
        <w:t>, vol. 5, issue 3, pp. 323-350.</w:t>
      </w:r>
    </w:p>
  </w:footnote>
  <w:footnote w:id="25">
    <w:p w14:paraId="0ECBA515" w14:textId="7E4E45EB" w:rsidR="00BD2284" w:rsidRPr="00A06821" w:rsidRDefault="00BD2284" w:rsidP="00987497">
      <w:pPr>
        <w:pStyle w:val="Textonotapie"/>
        <w:jc w:val="both"/>
        <w:rPr>
          <w:rFonts w:ascii="Times New Roman" w:hAnsi="Times New Roman" w:cs="Times New Roman"/>
          <w:lang w:val="pt-PT"/>
        </w:rPr>
      </w:pPr>
      <w:r w:rsidRPr="00A06821">
        <w:rPr>
          <w:rStyle w:val="Refdenotaalpie"/>
          <w:rFonts w:ascii="Times New Roman" w:hAnsi="Times New Roman" w:cs="Times New Roman"/>
        </w:rPr>
        <w:footnoteRef/>
      </w:r>
      <w:r w:rsidRPr="00A06821">
        <w:rPr>
          <w:rFonts w:ascii="Times New Roman" w:hAnsi="Times New Roman" w:cs="Times New Roman"/>
          <w:lang w:val="pt-PT"/>
        </w:rPr>
        <w:t xml:space="preserve"> </w:t>
      </w:r>
      <w:r w:rsidR="00061A4C" w:rsidRPr="00A06821">
        <w:rPr>
          <w:rFonts w:ascii="Times New Roman" w:hAnsi="Times New Roman" w:cs="Times New Roman"/>
          <w:lang w:val="pt-PT"/>
        </w:rPr>
        <w:t xml:space="preserve">TOLLEY, M. C., </w:t>
      </w:r>
      <w:r w:rsidR="00061A4C" w:rsidRPr="00A06821">
        <w:rPr>
          <w:rFonts w:ascii="Times New Roman" w:hAnsi="Times New Roman" w:cs="Times New Roman"/>
          <w:i/>
          <w:iCs/>
          <w:lang w:val="pt-PT"/>
        </w:rPr>
        <w:t>cit</w:t>
      </w:r>
      <w:r w:rsidR="00061A4C" w:rsidRPr="00A06821">
        <w:rPr>
          <w:rFonts w:ascii="Times New Roman" w:hAnsi="Times New Roman" w:cs="Times New Roman"/>
          <w:lang w:val="pt-PT"/>
        </w:rPr>
        <w:t>.</w:t>
      </w:r>
    </w:p>
  </w:footnote>
  <w:footnote w:id="26">
    <w:p w14:paraId="7C23946B" w14:textId="44C7267B" w:rsidR="005046D0" w:rsidRPr="00A06821" w:rsidRDefault="005046D0" w:rsidP="00987497">
      <w:pPr>
        <w:pStyle w:val="Textonotapie"/>
        <w:jc w:val="both"/>
        <w:rPr>
          <w:rFonts w:ascii="Times New Roman" w:hAnsi="Times New Roman" w:cs="Times New Roman"/>
          <w:lang w:val="pt-PT"/>
        </w:rPr>
      </w:pPr>
      <w:r w:rsidRPr="00A06821">
        <w:rPr>
          <w:rStyle w:val="Refdenotaalpie"/>
          <w:rFonts w:ascii="Times New Roman" w:hAnsi="Times New Roman" w:cs="Times New Roman"/>
        </w:rPr>
        <w:footnoteRef/>
      </w:r>
      <w:r w:rsidRPr="00A06821">
        <w:rPr>
          <w:rFonts w:ascii="Times New Roman" w:hAnsi="Times New Roman" w:cs="Times New Roman"/>
          <w:lang w:val="pt-PT"/>
        </w:rPr>
        <w:t xml:space="preserve"> Case C-64/16, Associação Sindical dos Juízes Portugueses, p. 32, 34 and 35.</w:t>
      </w:r>
    </w:p>
  </w:footnote>
  <w:footnote w:id="27">
    <w:p w14:paraId="5E3F6EEF" w14:textId="77777777" w:rsidR="003D05A9" w:rsidRPr="00A06821" w:rsidRDefault="003D05A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MOLITERNO, J. and CUROS, P., </w:t>
      </w:r>
      <w:r w:rsidRPr="00A06821">
        <w:rPr>
          <w:rFonts w:ascii="Times New Roman" w:hAnsi="Times New Roman" w:cs="Times New Roman"/>
          <w:i/>
          <w:iCs/>
        </w:rPr>
        <w:t>cit.</w:t>
      </w:r>
    </w:p>
  </w:footnote>
  <w:footnote w:id="28">
    <w:p w14:paraId="428FBF62" w14:textId="5DE8D0DB" w:rsidR="003D05A9" w:rsidRPr="00A06821" w:rsidRDefault="003D05A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«Judicial independence can also be defined as the ability of judges to make their decisions without interference or fear of retribution by other powers (BURBANK, S., «What do We Mean by Judicial Independence?», </w:t>
      </w:r>
      <w:r w:rsidRPr="00A06821">
        <w:rPr>
          <w:rFonts w:ascii="Times New Roman" w:hAnsi="Times New Roman" w:cs="Times New Roman"/>
          <w:i/>
          <w:iCs/>
        </w:rPr>
        <w:t>Ohio State Law Journal</w:t>
      </w:r>
      <w:r w:rsidRPr="00A06821">
        <w:rPr>
          <w:rFonts w:ascii="Times New Roman" w:hAnsi="Times New Roman" w:cs="Times New Roman"/>
        </w:rPr>
        <w:t>, vol. 64, no. 1, 2003, pp. 323-340). This is important, because it allows for “judges free of congressional and executive control [to] be in a position to determine whether the assertion of power against citizens is consistent with law” (BATOR, P., «The Constitution as a</w:t>
      </w:r>
      <w:r w:rsidR="00136200" w:rsidRPr="00A06821">
        <w:rPr>
          <w:rFonts w:ascii="Times New Roman" w:hAnsi="Times New Roman" w:cs="Times New Roman"/>
        </w:rPr>
        <w:t>n</w:t>
      </w:r>
      <w:r w:rsidRPr="00A06821">
        <w:rPr>
          <w:rFonts w:ascii="Times New Roman" w:hAnsi="Times New Roman" w:cs="Times New Roman"/>
        </w:rPr>
        <w:t xml:space="preserve"> Architecture: Legislative and Administrative Courts under Article III», </w:t>
      </w:r>
      <w:r w:rsidRPr="00A06821">
        <w:rPr>
          <w:rFonts w:ascii="Times New Roman" w:hAnsi="Times New Roman" w:cs="Times New Roman"/>
          <w:i/>
          <w:iCs/>
        </w:rPr>
        <w:t>Indiana Law Journal</w:t>
      </w:r>
      <w:r w:rsidRPr="00A06821">
        <w:rPr>
          <w:rFonts w:ascii="Times New Roman" w:hAnsi="Times New Roman" w:cs="Times New Roman"/>
        </w:rPr>
        <w:t xml:space="preserve">, vol. 65, no. 2, Article 2, 1990, pp. 233-275). For a country to have effective separation of powers, judges must be free from worrying about the short-term desires of elected officials (KAUFMAN, I., «The Essence of Judicial Independence», </w:t>
      </w:r>
      <w:r w:rsidRPr="00A06821">
        <w:rPr>
          <w:rFonts w:ascii="Times New Roman" w:hAnsi="Times New Roman" w:cs="Times New Roman"/>
          <w:i/>
          <w:iCs/>
        </w:rPr>
        <w:t>Columbia Law Review</w:t>
      </w:r>
      <w:r w:rsidRPr="00A06821">
        <w:rPr>
          <w:rFonts w:ascii="Times New Roman" w:hAnsi="Times New Roman" w:cs="Times New Roman"/>
        </w:rPr>
        <w:t xml:space="preserve">, vol. 80, o. 4, </w:t>
      </w:r>
      <w:r w:rsidR="003B7CC4">
        <w:rPr>
          <w:rFonts w:ascii="Times New Roman" w:hAnsi="Times New Roman" w:cs="Times New Roman"/>
        </w:rPr>
        <w:t>May 1980</w:t>
      </w:r>
      <w:r w:rsidRPr="00A06821">
        <w:rPr>
          <w:rFonts w:ascii="Times New Roman" w:hAnsi="Times New Roman" w:cs="Times New Roman"/>
        </w:rPr>
        <w:t xml:space="preserve">, pp. 671-701)». FREEBERG, J., «Don’t Judge Me: Declining Judicial Independence in Hungary and Poland», </w:t>
      </w:r>
      <w:r w:rsidRPr="00A06821">
        <w:rPr>
          <w:rFonts w:ascii="Times New Roman" w:hAnsi="Times New Roman" w:cs="Times New Roman"/>
          <w:i/>
          <w:iCs/>
        </w:rPr>
        <w:t>WWU Honors College Senior Projects</w:t>
      </w:r>
      <w:r w:rsidRPr="00A06821">
        <w:rPr>
          <w:rFonts w:ascii="Times New Roman" w:hAnsi="Times New Roman" w:cs="Times New Roman"/>
        </w:rPr>
        <w:t>. 601, 2022.</w:t>
      </w:r>
    </w:p>
  </w:footnote>
  <w:footnote w:id="29">
    <w:p w14:paraId="0916C06E" w14:textId="71474A82" w:rsidR="002C5033" w:rsidRPr="00A06821" w:rsidRDefault="002C5033"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Article 19 TEU, Article 47 Charter. </w:t>
      </w:r>
      <w:r w:rsidR="00377AC1" w:rsidRPr="00A06821">
        <w:rPr>
          <w:rFonts w:ascii="Times New Roman" w:hAnsi="Times New Roman" w:cs="Times New Roman"/>
        </w:rPr>
        <w:t>C</w:t>
      </w:r>
      <w:r w:rsidRPr="00A06821">
        <w:rPr>
          <w:rFonts w:ascii="Times New Roman" w:hAnsi="Times New Roman" w:cs="Times New Roman"/>
        </w:rPr>
        <w:t xml:space="preserve">OM(2022) 500 final, Communication from the Commission to the European Parliament, the Council, the European Economic and Social Committee and the Committee of the Regions, 2022 </w:t>
      </w:r>
      <w:r w:rsidR="00062F6C">
        <w:rPr>
          <w:rFonts w:ascii="Times New Roman" w:hAnsi="Times New Roman" w:cs="Times New Roman"/>
        </w:rPr>
        <w:t>Rule of Law</w:t>
      </w:r>
      <w:r w:rsidRPr="00A06821">
        <w:rPr>
          <w:rFonts w:ascii="Times New Roman" w:hAnsi="Times New Roman" w:cs="Times New Roman"/>
        </w:rPr>
        <w:t xml:space="preserve"> Report. The </w:t>
      </w:r>
      <w:r w:rsidR="00062F6C">
        <w:rPr>
          <w:rFonts w:ascii="Times New Roman" w:hAnsi="Times New Roman" w:cs="Times New Roman"/>
        </w:rPr>
        <w:t>Rule of Law</w:t>
      </w:r>
      <w:r w:rsidRPr="00A06821">
        <w:rPr>
          <w:rFonts w:ascii="Times New Roman" w:hAnsi="Times New Roman" w:cs="Times New Roman"/>
        </w:rPr>
        <w:t xml:space="preserve"> situation in the European Union, 13.07.2022. In case C-64/16, Associação Sindical dos Juízes Portugueses, 27 February 2018, p. 44, the CJEU distinguishes external independence which it considers equivalent to protecting the judicial branch from other branches of power and ensures the absence of any hierarchical constraint or subordination to any other body, from internal independence, which is linked to impartiality.</w:t>
      </w:r>
    </w:p>
  </w:footnote>
  <w:footnote w:id="30">
    <w:p w14:paraId="2238E612" w14:textId="7AC49123" w:rsidR="00FD5068" w:rsidRPr="00A06821" w:rsidRDefault="00FD5068"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LENAERTS, K., The Court of Justice and National Courts: A Dialogue Based on Mutual Trust and Judicial Independence</w:t>
      </w:r>
      <w:r w:rsidR="004C637A" w:rsidRPr="00A06821">
        <w:rPr>
          <w:rFonts w:ascii="Times New Roman" w:hAnsi="Times New Roman" w:cs="Times New Roman"/>
        </w:rPr>
        <w:t>, introductory lecture given by the President of the Court of Justice of the European Union during the scientific conference "Application of the European law in jurisprudence</w:t>
      </w:r>
      <w:r w:rsidR="004E6C8E" w:rsidRPr="00A06821">
        <w:rPr>
          <w:rFonts w:ascii="Times New Roman" w:hAnsi="Times New Roman" w:cs="Times New Roman"/>
        </w:rPr>
        <w:t>,”</w:t>
      </w:r>
      <w:r w:rsidR="004C637A" w:rsidRPr="00A06821">
        <w:rPr>
          <w:rFonts w:ascii="Times New Roman" w:hAnsi="Times New Roman" w:cs="Times New Roman"/>
        </w:rPr>
        <w:t xml:space="preserve"> Supreme Administrative Court of Poland, 19 March 2018.</w:t>
      </w:r>
    </w:p>
  </w:footnote>
  <w:footnote w:id="31">
    <w:p w14:paraId="5630C8F7" w14:textId="2B155DBC" w:rsidR="004C545F" w:rsidRPr="00A06821" w:rsidRDefault="004C545F"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TOLLEY, M. C., </w:t>
      </w:r>
      <w:r w:rsidRPr="00A06821">
        <w:rPr>
          <w:rFonts w:ascii="Times New Roman" w:hAnsi="Times New Roman" w:cs="Times New Roman"/>
          <w:i/>
          <w:iCs/>
        </w:rPr>
        <w:t>cit</w:t>
      </w:r>
      <w:r w:rsidRPr="00A06821">
        <w:rPr>
          <w:rFonts w:ascii="Times New Roman" w:hAnsi="Times New Roman" w:cs="Times New Roman"/>
        </w:rPr>
        <w:t>.</w:t>
      </w:r>
      <w:r w:rsidR="00274A74" w:rsidRPr="00A06821">
        <w:rPr>
          <w:rFonts w:ascii="Times New Roman" w:hAnsi="Times New Roman" w:cs="Times New Roman"/>
        </w:rPr>
        <w:t xml:space="preserve"> In the same sense, </w:t>
      </w:r>
      <w:r w:rsidR="002E4F85" w:rsidRPr="00A06821">
        <w:rPr>
          <w:rFonts w:ascii="Times New Roman" w:hAnsi="Times New Roman" w:cs="Times New Roman"/>
        </w:rPr>
        <w:t>Peter H. Russel</w:t>
      </w:r>
      <w:r w:rsidR="00274A74" w:rsidRPr="00A06821">
        <w:rPr>
          <w:rFonts w:ascii="Times New Roman" w:hAnsi="Times New Roman" w:cs="Times New Roman"/>
        </w:rPr>
        <w:t xml:space="preserve"> </w:t>
      </w:r>
      <w:r w:rsidR="002E4F85" w:rsidRPr="00A06821">
        <w:rPr>
          <w:rFonts w:ascii="Times New Roman" w:hAnsi="Times New Roman" w:cs="Times New Roman"/>
        </w:rPr>
        <w:t xml:space="preserve">also defines judicial independence as «the autonomy of judges, both individually and collectively, from other individuals and institutions and the willingness of judges to exercise their autonomy by exercising power over powerful individuals and legislative and executive agencies of government». See «Towards a General Theory of Judicial Independence», in RUSSEL, P.H. and O’BRIEN, D.M., </w:t>
      </w:r>
      <w:r w:rsidR="002E4F85" w:rsidRPr="00A06821">
        <w:rPr>
          <w:rFonts w:ascii="Times New Roman" w:hAnsi="Times New Roman" w:cs="Times New Roman"/>
          <w:i/>
          <w:iCs/>
        </w:rPr>
        <w:t>Judicial Independence in the Age of Democracy: Critical Perspectives from Around the World</w:t>
      </w:r>
      <w:r w:rsidR="008A599E" w:rsidRPr="00A06821">
        <w:rPr>
          <w:rFonts w:ascii="Times New Roman" w:hAnsi="Times New Roman" w:cs="Times New Roman"/>
        </w:rPr>
        <w:t xml:space="preserve">, </w:t>
      </w:r>
      <w:r w:rsidR="002E4F85" w:rsidRPr="00A06821">
        <w:rPr>
          <w:rFonts w:ascii="Times New Roman" w:hAnsi="Times New Roman" w:cs="Times New Roman"/>
        </w:rPr>
        <w:t>Charlottesville, VA</w:t>
      </w:r>
      <w:r w:rsidR="008A599E" w:rsidRPr="00A06821">
        <w:rPr>
          <w:rFonts w:ascii="Times New Roman" w:hAnsi="Times New Roman" w:cs="Times New Roman"/>
        </w:rPr>
        <w:t>,</w:t>
      </w:r>
      <w:r w:rsidR="002E4F85" w:rsidRPr="00A06821">
        <w:rPr>
          <w:rFonts w:ascii="Times New Roman" w:hAnsi="Times New Roman" w:cs="Times New Roman"/>
        </w:rPr>
        <w:t xml:space="preserve"> University Press of Virginia, 2001, p</w:t>
      </w:r>
      <w:r w:rsidR="008A599E" w:rsidRPr="00A06821">
        <w:rPr>
          <w:rFonts w:ascii="Times New Roman" w:hAnsi="Times New Roman" w:cs="Times New Roman"/>
        </w:rPr>
        <w:t>p</w:t>
      </w:r>
      <w:r w:rsidR="002E4F85" w:rsidRPr="00A06821">
        <w:rPr>
          <w:rFonts w:ascii="Times New Roman" w:hAnsi="Times New Roman" w:cs="Times New Roman"/>
        </w:rPr>
        <w:t>. 1</w:t>
      </w:r>
      <w:r w:rsidR="008A599E" w:rsidRPr="00A06821">
        <w:rPr>
          <w:rFonts w:ascii="Times New Roman" w:hAnsi="Times New Roman" w:cs="Times New Roman"/>
        </w:rPr>
        <w:t xml:space="preserve"> ss</w:t>
      </w:r>
      <w:r w:rsidR="002E4F85" w:rsidRPr="00A06821">
        <w:rPr>
          <w:rFonts w:ascii="Times New Roman" w:hAnsi="Times New Roman" w:cs="Times New Roman"/>
        </w:rPr>
        <w:t>.</w:t>
      </w:r>
    </w:p>
  </w:footnote>
  <w:footnote w:id="32">
    <w:p w14:paraId="79254FCF" w14:textId="0A7C2523" w:rsidR="00B2153B" w:rsidRPr="00A06821" w:rsidRDefault="00B2153B"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Case</w:t>
      </w:r>
      <w:r w:rsidR="006D756F" w:rsidRPr="00A06821">
        <w:rPr>
          <w:rFonts w:ascii="Times New Roman" w:hAnsi="Times New Roman" w:cs="Times New Roman"/>
        </w:rPr>
        <w:t>s</w:t>
      </w:r>
      <w:r w:rsidRPr="00A06821">
        <w:rPr>
          <w:rFonts w:ascii="Times New Roman" w:hAnsi="Times New Roman" w:cs="Times New Roman"/>
        </w:rPr>
        <w:t xml:space="preserve"> C-156/21</w:t>
      </w:r>
      <w:r w:rsidR="00090149" w:rsidRPr="00A06821">
        <w:rPr>
          <w:rFonts w:ascii="Times New Roman" w:hAnsi="Times New Roman" w:cs="Times New Roman"/>
        </w:rPr>
        <w:t xml:space="preserve">, Hungary </w:t>
      </w:r>
      <w:r w:rsidR="00090149" w:rsidRPr="00A06821">
        <w:rPr>
          <w:rFonts w:ascii="Times New Roman" w:hAnsi="Times New Roman" w:cs="Times New Roman"/>
          <w:i/>
          <w:iCs/>
        </w:rPr>
        <w:t>v.</w:t>
      </w:r>
      <w:r w:rsidR="00090149" w:rsidRPr="00A06821">
        <w:rPr>
          <w:rFonts w:ascii="Times New Roman" w:hAnsi="Times New Roman" w:cs="Times New Roman"/>
        </w:rPr>
        <w:t xml:space="preserve"> Parliament and Council</w:t>
      </w:r>
      <w:r w:rsidR="006D756F" w:rsidRPr="00A06821">
        <w:rPr>
          <w:rFonts w:ascii="Times New Roman" w:hAnsi="Times New Roman" w:cs="Times New Roman"/>
        </w:rPr>
        <w:t xml:space="preserve"> and C-158/21, Poland </w:t>
      </w:r>
      <w:r w:rsidR="006D756F" w:rsidRPr="00A06821">
        <w:rPr>
          <w:rFonts w:ascii="Times New Roman" w:hAnsi="Times New Roman" w:cs="Times New Roman"/>
          <w:i/>
          <w:iCs/>
        </w:rPr>
        <w:t>v.</w:t>
      </w:r>
      <w:r w:rsidR="006D756F" w:rsidRPr="00A06821">
        <w:rPr>
          <w:rFonts w:ascii="Times New Roman" w:hAnsi="Times New Roman" w:cs="Times New Roman"/>
        </w:rPr>
        <w:t xml:space="preserve"> Parliament and Council, p. 129.</w:t>
      </w:r>
      <w:r w:rsidR="00F07B41" w:rsidRPr="00A06821">
        <w:rPr>
          <w:rFonts w:ascii="Times New Roman" w:hAnsi="Times New Roman" w:cs="Times New Roman"/>
        </w:rPr>
        <w:t xml:space="preserve"> See recital 5 of Regulation (EU, Euratom) 2020/2092, </w:t>
      </w:r>
      <w:r w:rsidR="00F07B41" w:rsidRPr="00A06821">
        <w:rPr>
          <w:rFonts w:ascii="Times New Roman" w:hAnsi="Times New Roman" w:cs="Times New Roman"/>
          <w:i/>
          <w:iCs/>
        </w:rPr>
        <w:t>cit.</w:t>
      </w:r>
      <w:r w:rsidR="00F07B41" w:rsidRPr="00A06821">
        <w:rPr>
          <w:rFonts w:ascii="Times New Roman" w:hAnsi="Times New Roman" w:cs="Times New Roman"/>
        </w:rPr>
        <w:t xml:space="preserve">: «Once a candidate country becomes a Member State, it joins a legal structure that is based on the fundamental </w:t>
      </w:r>
      <w:r w:rsidR="00F07B41" w:rsidRPr="009C05B2">
        <w:rPr>
          <w:rFonts w:ascii="Times New Roman" w:hAnsi="Times New Roman" w:cs="Times New Roman"/>
        </w:rPr>
        <w:t>premiss</w:t>
      </w:r>
      <w:r w:rsidR="00F07B41" w:rsidRPr="00A06821">
        <w:rPr>
          <w:rFonts w:ascii="Times New Roman" w:hAnsi="Times New Roman" w:cs="Times New Roman"/>
        </w:rPr>
        <w:t xml:space="preserve"> that each Member State shares with all the other </w:t>
      </w:r>
      <w:r w:rsidR="00062F6C">
        <w:rPr>
          <w:rFonts w:ascii="Times New Roman" w:hAnsi="Times New Roman" w:cs="Times New Roman"/>
        </w:rPr>
        <w:t>Member States</w:t>
      </w:r>
      <w:r w:rsidR="00F07B41" w:rsidRPr="00A06821">
        <w:rPr>
          <w:rFonts w:ascii="Times New Roman" w:hAnsi="Times New Roman" w:cs="Times New Roman"/>
        </w:rPr>
        <w:t xml:space="preserve">, and </w:t>
      </w:r>
      <w:r w:rsidR="00595D45" w:rsidRPr="00A06821">
        <w:rPr>
          <w:rFonts w:ascii="Times New Roman" w:hAnsi="Times New Roman" w:cs="Times New Roman"/>
        </w:rPr>
        <w:t>recognizes</w:t>
      </w:r>
      <w:r w:rsidR="00F07B41" w:rsidRPr="00A06821">
        <w:rPr>
          <w:rFonts w:ascii="Times New Roman" w:hAnsi="Times New Roman" w:cs="Times New Roman"/>
        </w:rPr>
        <w:t xml:space="preserve"> that they share with it, a set of common values on which the Union is founded, as stated in Article 2 TEU. That </w:t>
      </w:r>
      <w:r w:rsidR="00F07B41" w:rsidRPr="009C05B2">
        <w:rPr>
          <w:rFonts w:ascii="Times New Roman" w:hAnsi="Times New Roman" w:cs="Times New Roman"/>
        </w:rPr>
        <w:t>premiss</w:t>
      </w:r>
      <w:r w:rsidR="00F07B41" w:rsidRPr="00A06821">
        <w:rPr>
          <w:rFonts w:ascii="Times New Roman" w:hAnsi="Times New Roman" w:cs="Times New Roman"/>
        </w:rPr>
        <w:t xml:space="preserve"> implies and justifies the existence of mutual trust between the </w:t>
      </w:r>
      <w:r w:rsidR="00062F6C">
        <w:rPr>
          <w:rFonts w:ascii="Times New Roman" w:hAnsi="Times New Roman" w:cs="Times New Roman"/>
        </w:rPr>
        <w:t>Member States</w:t>
      </w:r>
      <w:r w:rsidR="00F07B41" w:rsidRPr="00A06821">
        <w:rPr>
          <w:rFonts w:ascii="Times New Roman" w:hAnsi="Times New Roman" w:cs="Times New Roman"/>
        </w:rPr>
        <w:t xml:space="preserve"> that those values will be </w:t>
      </w:r>
      <w:r w:rsidR="00595D45" w:rsidRPr="00A06821">
        <w:rPr>
          <w:rFonts w:ascii="Times New Roman" w:hAnsi="Times New Roman" w:cs="Times New Roman"/>
        </w:rPr>
        <w:t>recognized</w:t>
      </w:r>
      <w:r w:rsidR="00F07B41" w:rsidRPr="00A06821">
        <w:rPr>
          <w:rFonts w:ascii="Times New Roman" w:hAnsi="Times New Roman" w:cs="Times New Roman"/>
        </w:rPr>
        <w:t xml:space="preserve"> and, therefore, that the law of the Union that implements them will be respected. The laws and practices of </w:t>
      </w:r>
      <w:r w:rsidR="00062F6C">
        <w:rPr>
          <w:rFonts w:ascii="Times New Roman" w:hAnsi="Times New Roman" w:cs="Times New Roman"/>
        </w:rPr>
        <w:t>Member States</w:t>
      </w:r>
      <w:r w:rsidR="00F07B41" w:rsidRPr="00A06821">
        <w:rPr>
          <w:rFonts w:ascii="Times New Roman" w:hAnsi="Times New Roman" w:cs="Times New Roman"/>
        </w:rPr>
        <w:t xml:space="preserve"> should continue to</w:t>
      </w:r>
      <w:r w:rsidR="008A599E" w:rsidRPr="00A06821">
        <w:rPr>
          <w:rFonts w:ascii="Times New Roman" w:hAnsi="Times New Roman" w:cs="Times New Roman"/>
        </w:rPr>
        <w:t xml:space="preserve"> </w:t>
      </w:r>
      <w:r w:rsidR="00F07B41" w:rsidRPr="00A06821">
        <w:rPr>
          <w:rFonts w:ascii="Times New Roman" w:hAnsi="Times New Roman" w:cs="Times New Roman"/>
        </w:rPr>
        <w:t>comply with the common values on which the Union is founded».</w:t>
      </w:r>
    </w:p>
  </w:footnote>
  <w:footnote w:id="33">
    <w:p w14:paraId="55286EBC" w14:textId="0192F79A" w:rsidR="00185309" w:rsidRPr="00A06821" w:rsidRDefault="0018530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AB6CDE" w:rsidRPr="00A06821">
        <w:rPr>
          <w:rFonts w:ascii="Times New Roman" w:hAnsi="Times New Roman" w:cs="Times New Roman"/>
        </w:rPr>
        <w:t xml:space="preserve">UITZ, R., The </w:t>
      </w:r>
      <w:r w:rsidR="00062F6C">
        <w:rPr>
          <w:rFonts w:ascii="Times New Roman" w:hAnsi="Times New Roman" w:cs="Times New Roman"/>
        </w:rPr>
        <w:t>Rule of Law</w:t>
      </w:r>
      <w:r w:rsidR="00AB6CDE" w:rsidRPr="00A06821">
        <w:rPr>
          <w:rFonts w:ascii="Times New Roman" w:hAnsi="Times New Roman" w:cs="Times New Roman"/>
        </w:rPr>
        <w:t xml:space="preserve"> in the EU: Crisis – Differentiation – Conditionality, Bridge Network – Working Paper 20, April 2022; </w:t>
      </w:r>
      <w:r w:rsidR="002730F6" w:rsidRPr="00A06821">
        <w:rPr>
          <w:rFonts w:ascii="Times New Roman" w:hAnsi="Times New Roman" w:cs="Times New Roman"/>
        </w:rPr>
        <w:t>PIROZZI</w:t>
      </w:r>
      <w:r w:rsidR="00615DBE" w:rsidRPr="00A06821">
        <w:rPr>
          <w:rFonts w:ascii="Times New Roman" w:hAnsi="Times New Roman" w:cs="Times New Roman"/>
        </w:rPr>
        <w:t xml:space="preserve">, N. and BONOMI, M., «Governing Differentiation and Integration in the European Union: Patterns, Effectiveness ang Legitimacy», </w:t>
      </w:r>
      <w:r w:rsidR="00615DBE" w:rsidRPr="00A06821">
        <w:rPr>
          <w:rFonts w:ascii="Times New Roman" w:hAnsi="Times New Roman" w:cs="Times New Roman"/>
          <w:i/>
          <w:iCs/>
        </w:rPr>
        <w:t>The International Spectator</w:t>
      </w:r>
      <w:r w:rsidR="00582242" w:rsidRPr="00A06821">
        <w:rPr>
          <w:rFonts w:ascii="Times New Roman" w:hAnsi="Times New Roman" w:cs="Times New Roman"/>
          <w:i/>
          <w:iCs/>
        </w:rPr>
        <w:t xml:space="preserve">, </w:t>
      </w:r>
      <w:r w:rsidR="00582242" w:rsidRPr="00A06821">
        <w:rPr>
          <w:rFonts w:ascii="Times New Roman" w:hAnsi="Times New Roman" w:cs="Times New Roman"/>
        </w:rPr>
        <w:t>57:</w:t>
      </w:r>
      <w:r w:rsidR="00582242" w:rsidRPr="00A06821">
        <w:rPr>
          <w:rFonts w:ascii="Times New Roman" w:hAnsi="Times New Roman" w:cs="Times New Roman"/>
          <w:i/>
          <w:iCs/>
        </w:rPr>
        <w:t xml:space="preserve"> </w:t>
      </w:r>
      <w:r w:rsidR="00615DBE" w:rsidRPr="00A06821">
        <w:rPr>
          <w:rFonts w:ascii="Times New Roman" w:hAnsi="Times New Roman" w:cs="Times New Roman"/>
        </w:rPr>
        <w:t>1, 2022.</w:t>
      </w:r>
    </w:p>
  </w:footnote>
  <w:footnote w:id="34">
    <w:p w14:paraId="02E69CE1" w14:textId="771605CC" w:rsidR="00DE3463" w:rsidRPr="00A06821" w:rsidRDefault="00DE3463"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UITZ, R</w:t>
      </w:r>
      <w:r w:rsidR="00B42B54" w:rsidRPr="00A06821">
        <w:rPr>
          <w:rFonts w:ascii="Times New Roman" w:hAnsi="Times New Roman" w:cs="Times New Roman"/>
        </w:rPr>
        <w:t>.</w:t>
      </w:r>
      <w:r w:rsidRPr="00A06821">
        <w:rPr>
          <w:rFonts w:ascii="Times New Roman" w:hAnsi="Times New Roman" w:cs="Times New Roman"/>
        </w:rPr>
        <w:t xml:space="preserve">, </w:t>
      </w:r>
      <w:r w:rsidRPr="00A06821">
        <w:rPr>
          <w:rFonts w:ascii="Times New Roman" w:hAnsi="Times New Roman" w:cs="Times New Roman"/>
          <w:i/>
          <w:iCs/>
        </w:rPr>
        <w:t>cit</w:t>
      </w:r>
      <w:r w:rsidRPr="00A06821">
        <w:rPr>
          <w:rFonts w:ascii="Times New Roman" w:hAnsi="Times New Roman" w:cs="Times New Roman"/>
        </w:rPr>
        <w:t>. D</w:t>
      </w:r>
      <w:r w:rsidR="00133752" w:rsidRPr="00A06821">
        <w:rPr>
          <w:rFonts w:ascii="Times New Roman" w:hAnsi="Times New Roman" w:cs="Times New Roman"/>
        </w:rPr>
        <w:t>E</w:t>
      </w:r>
      <w:r w:rsidRPr="00A06821">
        <w:rPr>
          <w:rFonts w:ascii="Times New Roman" w:hAnsi="Times New Roman" w:cs="Times New Roman"/>
        </w:rPr>
        <w:t xml:space="preserve"> WITTE, B., «Variable Geometr</w:t>
      </w:r>
      <w:r w:rsidR="00582242" w:rsidRPr="00A06821">
        <w:rPr>
          <w:rFonts w:ascii="Times New Roman" w:hAnsi="Times New Roman" w:cs="Times New Roman"/>
        </w:rPr>
        <w:t>y and Differentiation as Structural Features of the Legal Order», in D</w:t>
      </w:r>
      <w:r w:rsidR="00133752" w:rsidRPr="00A06821">
        <w:rPr>
          <w:rFonts w:ascii="Times New Roman" w:hAnsi="Times New Roman" w:cs="Times New Roman"/>
        </w:rPr>
        <w:t>E</w:t>
      </w:r>
      <w:r w:rsidR="00582242" w:rsidRPr="00A06821">
        <w:rPr>
          <w:rFonts w:ascii="Times New Roman" w:hAnsi="Times New Roman" w:cs="Times New Roman"/>
        </w:rPr>
        <w:t xml:space="preserve"> WITTE, B. </w:t>
      </w:r>
      <w:r w:rsidR="00582242" w:rsidRPr="00A06821">
        <w:rPr>
          <w:rFonts w:ascii="Times New Roman" w:hAnsi="Times New Roman" w:cs="Times New Roman"/>
          <w:i/>
          <w:iCs/>
        </w:rPr>
        <w:t>et al.</w:t>
      </w:r>
      <w:r w:rsidR="00582242" w:rsidRPr="00A06821">
        <w:rPr>
          <w:rFonts w:ascii="Times New Roman" w:hAnsi="Times New Roman" w:cs="Times New Roman"/>
        </w:rPr>
        <w:t xml:space="preserve"> (Eds), </w:t>
      </w:r>
      <w:r w:rsidR="00582242" w:rsidRPr="00A06821">
        <w:rPr>
          <w:rFonts w:ascii="Times New Roman" w:hAnsi="Times New Roman" w:cs="Times New Roman"/>
          <w:i/>
          <w:iCs/>
        </w:rPr>
        <w:t>Between Flexibility and Disintegration</w:t>
      </w:r>
      <w:r w:rsidR="00582242" w:rsidRPr="00A06821">
        <w:rPr>
          <w:rFonts w:ascii="Times New Roman" w:hAnsi="Times New Roman" w:cs="Times New Roman"/>
        </w:rPr>
        <w:t>, Edward Elgar, 2017.</w:t>
      </w:r>
    </w:p>
  </w:footnote>
  <w:footnote w:id="35">
    <w:p w14:paraId="2DC05433" w14:textId="09099332" w:rsidR="0011542E" w:rsidRPr="00A06821" w:rsidRDefault="0011542E"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Article 49 TEU: </w:t>
      </w:r>
      <w:r w:rsidR="0050561B" w:rsidRPr="00A06821">
        <w:rPr>
          <w:rFonts w:ascii="Times New Roman" w:hAnsi="Times New Roman" w:cs="Times New Roman"/>
        </w:rPr>
        <w:t>«</w:t>
      </w:r>
      <w:r w:rsidRPr="00A06821">
        <w:rPr>
          <w:rFonts w:ascii="Times New Roman" w:hAnsi="Times New Roman" w:cs="Times New Roman"/>
        </w:rPr>
        <w:t>Any European State which respects the values referred to in Article 2 and is committed to promoting them may apply to become a member of the Union</w:t>
      </w:r>
      <w:r w:rsidR="0050561B" w:rsidRPr="00A06821">
        <w:rPr>
          <w:rFonts w:ascii="Times New Roman" w:hAnsi="Times New Roman" w:cs="Times New Roman"/>
        </w:rPr>
        <w:t>»</w:t>
      </w:r>
      <w:r w:rsidRPr="00A06821">
        <w:rPr>
          <w:rFonts w:ascii="Times New Roman" w:hAnsi="Times New Roman" w:cs="Times New Roman"/>
        </w:rPr>
        <w:t>.</w:t>
      </w:r>
    </w:p>
  </w:footnote>
  <w:footnote w:id="36">
    <w:p w14:paraId="145B8B40" w14:textId="77777777" w:rsidR="00EF0428" w:rsidRPr="00A06821" w:rsidRDefault="00EF0428"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BÁRD, P., </w:t>
      </w:r>
      <w:r w:rsidRPr="00A06821">
        <w:rPr>
          <w:rFonts w:ascii="Times New Roman" w:hAnsi="Times New Roman" w:cs="Times New Roman"/>
          <w:i/>
          <w:iCs/>
        </w:rPr>
        <w:t>cit</w:t>
      </w:r>
      <w:r w:rsidRPr="00A06821">
        <w:rPr>
          <w:rFonts w:ascii="Times New Roman" w:hAnsi="Times New Roman" w:cs="Times New Roman"/>
        </w:rPr>
        <w:t>.</w:t>
      </w:r>
    </w:p>
  </w:footnote>
  <w:footnote w:id="37">
    <w:p w14:paraId="780E834F" w14:textId="4EAC39CA" w:rsidR="000A2259" w:rsidRPr="00A06821" w:rsidRDefault="000A225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UITZ, R., </w:t>
      </w:r>
      <w:r w:rsidR="00AB6CDE" w:rsidRPr="00A06821">
        <w:rPr>
          <w:rFonts w:ascii="Times New Roman" w:hAnsi="Times New Roman" w:cs="Times New Roman"/>
          <w:i/>
          <w:iCs/>
        </w:rPr>
        <w:t>cit</w:t>
      </w:r>
      <w:r w:rsidRPr="00A06821">
        <w:rPr>
          <w:rFonts w:ascii="Times New Roman" w:hAnsi="Times New Roman" w:cs="Times New Roman"/>
        </w:rPr>
        <w:t>.</w:t>
      </w:r>
    </w:p>
  </w:footnote>
  <w:footnote w:id="38">
    <w:p w14:paraId="79A1E71E" w14:textId="4C87B95B" w:rsidR="00595D45" w:rsidRPr="00A06821" w:rsidRDefault="006C7FD3"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Viviane Reding, Vice President of the European Commission and EU Justice Commissioner, ‘The EU and the </w:t>
      </w:r>
      <w:r w:rsidR="00062F6C">
        <w:rPr>
          <w:rFonts w:ascii="Times New Roman" w:hAnsi="Times New Roman" w:cs="Times New Roman"/>
        </w:rPr>
        <w:t>Rule of Law</w:t>
      </w:r>
      <w:r w:rsidRPr="00A06821">
        <w:rPr>
          <w:rFonts w:ascii="Times New Roman" w:hAnsi="Times New Roman" w:cs="Times New Roman"/>
        </w:rPr>
        <w:t xml:space="preserve"> – What next?’ Speech, 4 September 2013,</w:t>
      </w:r>
    </w:p>
    <w:p w14:paraId="7C55834A" w14:textId="532C678E" w:rsidR="006C7FD3" w:rsidRPr="00A06821" w:rsidRDefault="006C7FD3" w:rsidP="00987497">
      <w:pPr>
        <w:pStyle w:val="Textonotapie"/>
        <w:jc w:val="both"/>
        <w:rPr>
          <w:rFonts w:ascii="Times New Roman" w:hAnsi="Times New Roman" w:cs="Times New Roman"/>
        </w:rPr>
      </w:pPr>
      <w:r w:rsidRPr="00A06821">
        <w:rPr>
          <w:rFonts w:ascii="Times New Roman" w:hAnsi="Times New Roman" w:cs="Times New Roman"/>
        </w:rPr>
        <w:t>(&lt;http://europa.eu/rapid/pressrelease_SPEECH-13-677_en.htm&gt;)</w:t>
      </w:r>
    </w:p>
  </w:footnote>
  <w:footnote w:id="39">
    <w:p w14:paraId="2B8D0700" w14:textId="7F146517" w:rsidR="004875CF" w:rsidRPr="00A06821" w:rsidRDefault="004875CF"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MAGEN, A. and PECH, L., «The </w:t>
      </w:r>
      <w:r w:rsidR="00062F6C">
        <w:rPr>
          <w:rFonts w:ascii="Times New Roman" w:hAnsi="Times New Roman" w:cs="Times New Roman"/>
        </w:rPr>
        <w:t>Rule of Law</w:t>
      </w:r>
      <w:r w:rsidRPr="00A06821">
        <w:rPr>
          <w:rFonts w:ascii="Times New Roman" w:hAnsi="Times New Roman" w:cs="Times New Roman"/>
        </w:rPr>
        <w:t xml:space="preserve"> and the European Union», </w:t>
      </w:r>
      <w:r w:rsidR="00C00086" w:rsidRPr="00A06821">
        <w:rPr>
          <w:rFonts w:ascii="Times New Roman" w:hAnsi="Times New Roman" w:cs="Times New Roman"/>
        </w:rPr>
        <w:t xml:space="preserve">The Handbook on the </w:t>
      </w:r>
      <w:r w:rsidR="00062F6C">
        <w:rPr>
          <w:rFonts w:ascii="Times New Roman" w:hAnsi="Times New Roman" w:cs="Times New Roman"/>
        </w:rPr>
        <w:t>Rule of Law</w:t>
      </w:r>
      <w:r w:rsidR="00C00086" w:rsidRPr="00A06821">
        <w:rPr>
          <w:rFonts w:ascii="Times New Roman" w:hAnsi="Times New Roman" w:cs="Times New Roman"/>
        </w:rPr>
        <w:t xml:space="preserve">, </w:t>
      </w:r>
      <w:r w:rsidR="003B7CC4">
        <w:rPr>
          <w:rFonts w:ascii="Times New Roman" w:hAnsi="Times New Roman" w:cs="Times New Roman"/>
        </w:rPr>
        <w:t>Chapter</w:t>
      </w:r>
      <w:r w:rsidR="00C00086" w:rsidRPr="00A06821">
        <w:rPr>
          <w:rFonts w:ascii="Times New Roman" w:hAnsi="Times New Roman" w:cs="Times New Roman"/>
        </w:rPr>
        <w:t xml:space="preserve"> 14, Elgar, 2018, pp. 235-256.</w:t>
      </w:r>
      <w:r w:rsidRPr="00A06821">
        <w:rPr>
          <w:rFonts w:ascii="Times New Roman" w:hAnsi="Times New Roman" w:cs="Times New Roman"/>
        </w:rPr>
        <w:t xml:space="preserve"> </w:t>
      </w:r>
    </w:p>
  </w:footnote>
  <w:footnote w:id="40">
    <w:p w14:paraId="67DB9764" w14:textId="287E7416" w:rsidR="00115DC4" w:rsidRPr="00A06821" w:rsidRDefault="00115DC4"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Following formal commitments by the German </w:t>
      </w:r>
      <w:r w:rsidR="000E1870">
        <w:rPr>
          <w:rFonts w:ascii="Times New Roman" w:hAnsi="Times New Roman" w:cs="Times New Roman"/>
        </w:rPr>
        <w:t>g</w:t>
      </w:r>
      <w:r w:rsidRPr="00A06821">
        <w:rPr>
          <w:rFonts w:ascii="Times New Roman" w:hAnsi="Times New Roman" w:cs="Times New Roman"/>
        </w:rPr>
        <w:t xml:space="preserve">overnment </w:t>
      </w:r>
      <w:r w:rsidR="00FA49BF" w:rsidRPr="00A06821">
        <w:rPr>
          <w:rFonts w:ascii="Times New Roman" w:hAnsi="Times New Roman" w:cs="Times New Roman"/>
        </w:rPr>
        <w:t>recognizing</w:t>
      </w:r>
      <w:r w:rsidRPr="00A06821">
        <w:rPr>
          <w:rFonts w:ascii="Times New Roman" w:hAnsi="Times New Roman" w:cs="Times New Roman"/>
        </w:rPr>
        <w:t xml:space="preserve"> the primacy of EU law, the Commission close</w:t>
      </w:r>
      <w:r w:rsidR="00187CCE" w:rsidRPr="00A06821">
        <w:rPr>
          <w:rFonts w:ascii="Times New Roman" w:hAnsi="Times New Roman" w:cs="Times New Roman"/>
        </w:rPr>
        <w:t>d the infringement procedure.</w:t>
      </w:r>
    </w:p>
  </w:footnote>
  <w:footnote w:id="41">
    <w:p w14:paraId="32674DC4" w14:textId="3267D21D" w:rsidR="00187CCE" w:rsidRPr="00A06821" w:rsidRDefault="00187CCE"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In Poland, the Constitutional Court has expressly challenged the primacy of EU </w:t>
      </w:r>
      <w:r w:rsidR="0050561B" w:rsidRPr="00A06821">
        <w:rPr>
          <w:rFonts w:ascii="Times New Roman" w:hAnsi="Times New Roman" w:cs="Times New Roman"/>
        </w:rPr>
        <w:t>law and</w:t>
      </w:r>
      <w:r w:rsidRPr="00A06821">
        <w:rPr>
          <w:rFonts w:ascii="Times New Roman" w:hAnsi="Times New Roman" w:cs="Times New Roman"/>
        </w:rPr>
        <w:t xml:space="preserve"> considered certain provisions of the European Treaties as unconstitutional. This led the Commission to open an infringement procedure</w:t>
      </w:r>
      <w:r w:rsidR="002A6A62" w:rsidRPr="00A06821">
        <w:rPr>
          <w:rFonts w:ascii="Times New Roman" w:hAnsi="Times New Roman" w:cs="Times New Roman"/>
        </w:rPr>
        <w:t>.</w:t>
      </w:r>
    </w:p>
  </w:footnote>
  <w:footnote w:id="42">
    <w:p w14:paraId="22F5904B" w14:textId="6D7FC6A7" w:rsidR="00577B49" w:rsidRPr="00A06821" w:rsidRDefault="00577B4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BC2282" w:rsidRPr="00A06821">
        <w:rPr>
          <w:rFonts w:ascii="Times New Roman" w:hAnsi="Times New Roman" w:cs="Times New Roman"/>
        </w:rPr>
        <w:t xml:space="preserve">The </w:t>
      </w:r>
      <w:r w:rsidR="00835548" w:rsidRPr="00A06821">
        <w:rPr>
          <w:rFonts w:ascii="Times New Roman" w:hAnsi="Times New Roman" w:cs="Times New Roman"/>
        </w:rPr>
        <w:t>CJEU</w:t>
      </w:r>
      <w:r w:rsidR="00BC2282" w:rsidRPr="00A06821">
        <w:rPr>
          <w:rFonts w:ascii="Times New Roman" w:hAnsi="Times New Roman" w:cs="Times New Roman"/>
        </w:rPr>
        <w:t xml:space="preserve"> ruled that national courts should not be prevented by a risk of disciplinary sanctions from disapplying decisions of the Constitutional Court which are contrary to EU law and that EU law precludes any national rule or practice that would give rise to disciplinary liability for national </w:t>
      </w:r>
      <w:r w:rsidR="00115DC4" w:rsidRPr="00A06821">
        <w:rPr>
          <w:rFonts w:ascii="Times New Roman" w:hAnsi="Times New Roman" w:cs="Times New Roman"/>
        </w:rPr>
        <w:t xml:space="preserve">judges’ failure to comply with such decisions. </w:t>
      </w:r>
      <w:r w:rsidR="00C23CE4" w:rsidRPr="00A06821">
        <w:rPr>
          <w:rFonts w:ascii="Times New Roman" w:hAnsi="Times New Roman" w:cs="Times New Roman"/>
        </w:rPr>
        <w:t>Joined cases C-357/19, C</w:t>
      </w:r>
      <w:r w:rsidR="00A1051C" w:rsidRPr="00A06821">
        <w:rPr>
          <w:rFonts w:ascii="Times New Roman" w:hAnsi="Times New Roman" w:cs="Times New Roman"/>
        </w:rPr>
        <w:t xml:space="preserve"> </w:t>
      </w:r>
      <w:r w:rsidR="00C23CE4" w:rsidRPr="00A06821">
        <w:rPr>
          <w:rFonts w:ascii="Times New Roman" w:hAnsi="Times New Roman" w:cs="Times New Roman"/>
        </w:rPr>
        <w:t>-379/19, C-547/19, C-811/19</w:t>
      </w:r>
      <w:r w:rsidR="003B7CC4">
        <w:rPr>
          <w:rFonts w:ascii="Times New Roman" w:hAnsi="Times New Roman" w:cs="Times New Roman"/>
        </w:rPr>
        <w:t>,</w:t>
      </w:r>
      <w:r w:rsidR="00C23CE4" w:rsidRPr="00A06821">
        <w:rPr>
          <w:rFonts w:ascii="Times New Roman" w:hAnsi="Times New Roman" w:cs="Times New Roman"/>
        </w:rPr>
        <w:t xml:space="preserve"> </w:t>
      </w:r>
      <w:r w:rsidR="003B7CC4">
        <w:rPr>
          <w:rFonts w:ascii="Times New Roman" w:hAnsi="Times New Roman" w:cs="Times New Roman"/>
        </w:rPr>
        <w:t>and</w:t>
      </w:r>
      <w:r w:rsidR="00C23CE4" w:rsidRPr="00A06821">
        <w:rPr>
          <w:rFonts w:ascii="Times New Roman" w:hAnsi="Times New Roman" w:cs="Times New Roman"/>
        </w:rPr>
        <w:t xml:space="preserve"> C-840/19, </w:t>
      </w:r>
      <w:r w:rsidR="000C5762" w:rsidRPr="00A06821">
        <w:rPr>
          <w:rFonts w:ascii="Times New Roman" w:hAnsi="Times New Roman" w:cs="Times New Roman"/>
        </w:rPr>
        <w:t xml:space="preserve">Euro Box Promotion </w:t>
      </w:r>
      <w:r w:rsidR="003B7CC4">
        <w:rPr>
          <w:rFonts w:ascii="Times New Roman" w:hAnsi="Times New Roman" w:cs="Times New Roman"/>
        </w:rPr>
        <w:t>e.a.</w:t>
      </w:r>
      <w:r w:rsidR="002C6149" w:rsidRPr="00A06821">
        <w:rPr>
          <w:rFonts w:ascii="Times New Roman" w:hAnsi="Times New Roman" w:cs="Times New Roman"/>
        </w:rPr>
        <w:t xml:space="preserve">, 21 December 2021, </w:t>
      </w:r>
      <w:r w:rsidR="00115DC4" w:rsidRPr="00A06821">
        <w:rPr>
          <w:rFonts w:ascii="Times New Roman" w:hAnsi="Times New Roman" w:cs="Times New Roman"/>
        </w:rPr>
        <w:t xml:space="preserve">and </w:t>
      </w:r>
      <w:r w:rsidR="003B7CC4">
        <w:rPr>
          <w:rFonts w:ascii="Times New Roman" w:hAnsi="Times New Roman" w:cs="Times New Roman"/>
        </w:rPr>
        <w:t>C-430</w:t>
      </w:r>
      <w:r w:rsidR="002C6149" w:rsidRPr="00A06821">
        <w:rPr>
          <w:rFonts w:ascii="Times New Roman" w:hAnsi="Times New Roman" w:cs="Times New Roman"/>
        </w:rPr>
        <w:t>/21, RS, 22 February 2022</w:t>
      </w:r>
      <w:r w:rsidR="00115DC4" w:rsidRPr="00A06821">
        <w:rPr>
          <w:rFonts w:ascii="Times New Roman" w:hAnsi="Times New Roman" w:cs="Times New Roman"/>
        </w:rPr>
        <w:t>.</w:t>
      </w:r>
    </w:p>
  </w:footnote>
  <w:footnote w:id="43">
    <w:p w14:paraId="55694BE0" w14:textId="77777777" w:rsidR="00EF0428" w:rsidRPr="00A06821" w:rsidRDefault="00EF0428"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UITZ, R., </w:t>
      </w:r>
      <w:r w:rsidRPr="00A06821">
        <w:rPr>
          <w:rFonts w:ascii="Times New Roman" w:hAnsi="Times New Roman" w:cs="Times New Roman"/>
          <w:i/>
          <w:iCs/>
        </w:rPr>
        <w:t>cit</w:t>
      </w:r>
      <w:r w:rsidRPr="00A06821">
        <w:rPr>
          <w:rFonts w:ascii="Times New Roman" w:hAnsi="Times New Roman" w:cs="Times New Roman"/>
        </w:rPr>
        <w:t>.</w:t>
      </w:r>
    </w:p>
  </w:footnote>
  <w:footnote w:id="44">
    <w:p w14:paraId="3324737B" w14:textId="77777777" w:rsidR="00585B41" w:rsidRPr="00A06821" w:rsidRDefault="00585B41" w:rsidP="00585B41">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The bottom countries in the EU/EFTA/North America grouping are Poland, </w:t>
      </w:r>
      <w:r>
        <w:rPr>
          <w:rFonts w:ascii="Times New Roman" w:hAnsi="Times New Roman" w:cs="Times New Roman"/>
        </w:rPr>
        <w:t xml:space="preserve">the Slovak Republic, </w:t>
      </w:r>
      <w:r w:rsidRPr="00A06821">
        <w:rPr>
          <w:rFonts w:ascii="Times New Roman" w:hAnsi="Times New Roman" w:cs="Times New Roman"/>
        </w:rPr>
        <w:t>Romania, Croatia, Greece, Bulgaria</w:t>
      </w:r>
      <w:r>
        <w:rPr>
          <w:rFonts w:ascii="Times New Roman" w:hAnsi="Times New Roman" w:cs="Times New Roman"/>
        </w:rPr>
        <w:t>,</w:t>
      </w:r>
      <w:r w:rsidRPr="00A06821">
        <w:rPr>
          <w:rFonts w:ascii="Times New Roman" w:hAnsi="Times New Roman" w:cs="Times New Roman"/>
        </w:rPr>
        <w:t xml:space="preserve"> and Hungary. </w:t>
      </w:r>
      <w:hyperlink r:id="rId3" w:history="1">
        <w:r w:rsidRPr="00CB21C3">
          <w:rPr>
            <w:rStyle w:val="Hipervnculo"/>
            <w:rFonts w:ascii="Times New Roman" w:hAnsi="Times New Roman" w:cs="Times New Roman"/>
          </w:rPr>
          <w:t>https://worldjusticeproject.org/rule-of-law-index/downloads/WJPIndex2024.pdf</w:t>
        </w:r>
      </w:hyperlink>
      <w:r>
        <w:rPr>
          <w:rFonts w:ascii="Times New Roman" w:hAnsi="Times New Roman" w:cs="Times New Roman"/>
        </w:rPr>
        <w:t xml:space="preserve"> </w:t>
      </w:r>
    </w:p>
  </w:footnote>
  <w:footnote w:id="45">
    <w:p w14:paraId="186EF4DA" w14:textId="77777777" w:rsidR="00585B41" w:rsidRPr="00A06821" w:rsidRDefault="00585B41" w:rsidP="00585B41">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V-Dem Institute, </w:t>
      </w:r>
      <w:r w:rsidRPr="00A06821">
        <w:rPr>
          <w:rFonts w:ascii="Times New Roman" w:hAnsi="Times New Roman" w:cs="Times New Roman"/>
          <w:i/>
          <w:iCs/>
        </w:rPr>
        <w:t>Autocratization Surges – Resistance Grows. Democracy Report 2020</w:t>
      </w:r>
      <w:r w:rsidRPr="00A06821">
        <w:rPr>
          <w:rFonts w:ascii="Times New Roman" w:hAnsi="Times New Roman" w:cs="Times New Roman"/>
        </w:rPr>
        <w:t>, pp. 4 and 13.</w:t>
      </w:r>
    </w:p>
  </w:footnote>
  <w:footnote w:id="46">
    <w:p w14:paraId="73B40764" w14:textId="77777777" w:rsidR="00585B41" w:rsidRPr="00A06821" w:rsidRDefault="00585B41" w:rsidP="00585B41">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V-Dem Institute, </w:t>
      </w:r>
      <w:r w:rsidRPr="00A06821">
        <w:rPr>
          <w:rFonts w:ascii="Times New Roman" w:hAnsi="Times New Roman" w:cs="Times New Roman"/>
          <w:i/>
          <w:iCs/>
        </w:rPr>
        <w:t>Autocratization Turns Viral. Democracy Report 2021</w:t>
      </w:r>
      <w:r w:rsidRPr="00A06821">
        <w:rPr>
          <w:rFonts w:ascii="Times New Roman" w:hAnsi="Times New Roman" w:cs="Times New Roman"/>
        </w:rPr>
        <w:t>, March 2021, p. 19.</w:t>
      </w:r>
    </w:p>
  </w:footnote>
  <w:footnote w:id="47">
    <w:p w14:paraId="5C8C6A02" w14:textId="77777777" w:rsidR="00585B41" w:rsidRPr="00A06821" w:rsidRDefault="00585B41" w:rsidP="00585B41">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PECH, L., 2022, </w:t>
      </w:r>
      <w:r w:rsidRPr="00A06821">
        <w:rPr>
          <w:rFonts w:ascii="Times New Roman" w:hAnsi="Times New Roman" w:cs="Times New Roman"/>
          <w:i/>
          <w:iCs/>
        </w:rPr>
        <w:t>cit</w:t>
      </w:r>
      <w:r w:rsidRPr="00A06821">
        <w:rPr>
          <w:rFonts w:ascii="Times New Roman" w:hAnsi="Times New Roman" w:cs="Times New Roman"/>
        </w:rPr>
        <w:t>.</w:t>
      </w:r>
    </w:p>
  </w:footnote>
  <w:footnote w:id="48">
    <w:p w14:paraId="11CBB11C" w14:textId="77777777" w:rsidR="00585B41" w:rsidRPr="00A06821" w:rsidRDefault="00585B41" w:rsidP="00585B41">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BÁRD, P., </w:t>
      </w:r>
      <w:r w:rsidRPr="00A06821">
        <w:rPr>
          <w:rFonts w:ascii="Times New Roman" w:hAnsi="Times New Roman" w:cs="Times New Roman"/>
          <w:i/>
          <w:iCs/>
        </w:rPr>
        <w:t>cit.</w:t>
      </w:r>
    </w:p>
  </w:footnote>
  <w:footnote w:id="49">
    <w:p w14:paraId="4E56459B" w14:textId="77777777" w:rsidR="00585B41" w:rsidRPr="00A06821" w:rsidRDefault="00585B41" w:rsidP="00585B41">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PECH, L., 2022, </w:t>
      </w:r>
      <w:r w:rsidRPr="00A06821">
        <w:rPr>
          <w:rFonts w:ascii="Times New Roman" w:hAnsi="Times New Roman" w:cs="Times New Roman"/>
          <w:i/>
          <w:iCs/>
        </w:rPr>
        <w:t xml:space="preserve">cit.; </w:t>
      </w:r>
      <w:r w:rsidRPr="00A06821">
        <w:rPr>
          <w:rFonts w:ascii="Times New Roman" w:hAnsi="Times New Roman" w:cs="Times New Roman"/>
        </w:rPr>
        <w:t xml:space="preserve">V-Dem Institute, </w:t>
      </w:r>
      <w:r w:rsidRPr="00A06821">
        <w:rPr>
          <w:rFonts w:ascii="Times New Roman" w:hAnsi="Times New Roman" w:cs="Times New Roman"/>
          <w:i/>
          <w:iCs/>
        </w:rPr>
        <w:t xml:space="preserve">Autocratization Changing Nature. Democracy Report 2022, </w:t>
      </w:r>
      <w:r w:rsidRPr="00A06821">
        <w:rPr>
          <w:rFonts w:ascii="Times New Roman" w:hAnsi="Times New Roman" w:cs="Times New Roman"/>
        </w:rPr>
        <w:t>March 2022, p. 25.</w:t>
      </w:r>
    </w:p>
  </w:footnote>
  <w:footnote w:id="50">
    <w:p w14:paraId="353F502E" w14:textId="77777777" w:rsidR="004148FA" w:rsidRPr="00A06821" w:rsidRDefault="004148FA"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Cases C-487/19, </w:t>
      </w:r>
      <w:r w:rsidRPr="00A06821">
        <w:rPr>
          <w:rFonts w:ascii="Times New Roman" w:hAnsi="Times New Roman" w:cs="Times New Roman"/>
          <w:i/>
          <w:iCs/>
        </w:rPr>
        <w:t>cit.</w:t>
      </w:r>
      <w:r w:rsidRPr="00A06821">
        <w:rPr>
          <w:rFonts w:ascii="Times New Roman" w:hAnsi="Times New Roman" w:cs="Times New Roman"/>
        </w:rPr>
        <w:t xml:space="preserve">, p. 108, C‑896/19, </w:t>
      </w:r>
      <w:r w:rsidRPr="00A06821">
        <w:rPr>
          <w:rFonts w:ascii="Times New Roman" w:hAnsi="Times New Roman" w:cs="Times New Roman"/>
          <w:i/>
          <w:iCs/>
        </w:rPr>
        <w:t>cit.</w:t>
      </w:r>
      <w:r w:rsidRPr="00A06821">
        <w:rPr>
          <w:rFonts w:ascii="Times New Roman" w:hAnsi="Times New Roman" w:cs="Times New Roman"/>
        </w:rPr>
        <w:t xml:space="preserve">, p. 51 and C‑791/19, Commission </w:t>
      </w:r>
      <w:r w:rsidRPr="00A06821">
        <w:rPr>
          <w:rFonts w:ascii="Times New Roman" w:hAnsi="Times New Roman" w:cs="Times New Roman"/>
          <w:i/>
          <w:iCs/>
        </w:rPr>
        <w:t>v.</w:t>
      </w:r>
      <w:r w:rsidRPr="00A06821">
        <w:rPr>
          <w:rFonts w:ascii="Times New Roman" w:hAnsi="Times New Roman" w:cs="Times New Roman"/>
        </w:rPr>
        <w:t xml:space="preserve"> Poland (Disciplinary regime for judges), 15 July 2021, p. 58.</w:t>
      </w:r>
    </w:p>
  </w:footnote>
  <w:footnote w:id="51">
    <w:p w14:paraId="0C1C3368" w14:textId="77777777" w:rsidR="00A1051C" w:rsidRPr="00A06821" w:rsidRDefault="00A1051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Cases C-487/19, p. 110 and joined cases C‑83/19, C‑127/19, C‑195/19, C‑291/19, C‑355/19 and C‑397/19, </w:t>
      </w:r>
      <w:r w:rsidRPr="00A06821">
        <w:rPr>
          <w:rFonts w:ascii="Times New Roman" w:hAnsi="Times New Roman" w:cs="Times New Roman"/>
          <w:i/>
          <w:iCs/>
        </w:rPr>
        <w:t>cit.</w:t>
      </w:r>
      <w:r w:rsidRPr="00A06821">
        <w:rPr>
          <w:rFonts w:ascii="Times New Roman" w:hAnsi="Times New Roman" w:cs="Times New Roman"/>
        </w:rPr>
        <w:t>, p.97.</w:t>
      </w:r>
    </w:p>
  </w:footnote>
  <w:footnote w:id="52">
    <w:p w14:paraId="30ECCCA9" w14:textId="59AF1960" w:rsidR="00A1051C" w:rsidRPr="00A06821" w:rsidRDefault="00A1051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MOLITERNO, J. and CUROS, P., </w:t>
      </w:r>
      <w:r w:rsidRPr="00A06821">
        <w:rPr>
          <w:rFonts w:ascii="Times New Roman" w:hAnsi="Times New Roman" w:cs="Times New Roman"/>
          <w:i/>
          <w:iCs/>
        </w:rPr>
        <w:t>cit</w:t>
      </w:r>
      <w:r w:rsidRPr="00A06821">
        <w:rPr>
          <w:rFonts w:ascii="Times New Roman" w:hAnsi="Times New Roman" w:cs="Times New Roman"/>
        </w:rPr>
        <w:t>.</w:t>
      </w:r>
      <w:r w:rsidR="008A599E" w:rsidRPr="00A06821">
        <w:rPr>
          <w:rFonts w:ascii="Times New Roman" w:hAnsi="Times New Roman" w:cs="Times New Roman"/>
        </w:rPr>
        <w:t xml:space="preserve"> </w:t>
      </w:r>
      <w:r w:rsidR="005555E0" w:rsidRPr="00A06821">
        <w:rPr>
          <w:rFonts w:ascii="Times New Roman" w:hAnsi="Times New Roman" w:cs="Times New Roman"/>
        </w:rPr>
        <w:t>This is what Martin Shapiro calls a “independence-accountability problem</w:t>
      </w:r>
      <w:r w:rsidR="004E6C8E" w:rsidRPr="00A06821">
        <w:rPr>
          <w:rFonts w:ascii="Times New Roman" w:hAnsi="Times New Roman" w:cs="Times New Roman"/>
        </w:rPr>
        <w:t>.”</w:t>
      </w:r>
      <w:r w:rsidR="005555E0" w:rsidRPr="00A06821">
        <w:rPr>
          <w:rFonts w:ascii="Times New Roman" w:hAnsi="Times New Roman" w:cs="Times New Roman"/>
        </w:rPr>
        <w:t xml:space="preserve"> See, from the author, «Judicial Independence: New Challenges in Established Nations», </w:t>
      </w:r>
      <w:r w:rsidR="005555E0" w:rsidRPr="00A06821">
        <w:rPr>
          <w:rFonts w:ascii="Times New Roman" w:hAnsi="Times New Roman" w:cs="Times New Roman"/>
          <w:i/>
          <w:iCs/>
        </w:rPr>
        <w:t>Indiana Journal of Global Legal Studies</w:t>
      </w:r>
      <w:r w:rsidR="005555E0" w:rsidRPr="00A06821">
        <w:rPr>
          <w:rFonts w:ascii="Times New Roman" w:hAnsi="Times New Roman" w:cs="Times New Roman"/>
        </w:rPr>
        <w:t>, 20 no. 1 (2013): 253-277.</w:t>
      </w:r>
    </w:p>
  </w:footnote>
  <w:footnote w:id="53">
    <w:p w14:paraId="58F3C70E" w14:textId="77777777" w:rsidR="004148FA" w:rsidRPr="00A06821" w:rsidRDefault="004148FA" w:rsidP="00987497">
      <w:pPr>
        <w:spacing w:after="0" w:line="240" w:lineRule="auto"/>
        <w:jc w:val="both"/>
        <w:rPr>
          <w:rFonts w:ascii="Times New Roman" w:hAnsi="Times New Roman" w:cs="Times New Roman"/>
          <w:sz w:val="20"/>
          <w:szCs w:val="20"/>
        </w:rPr>
      </w:pPr>
      <w:r w:rsidRPr="00A06821">
        <w:rPr>
          <w:rStyle w:val="Refdenotaalpie"/>
          <w:rFonts w:ascii="Times New Roman" w:hAnsi="Times New Roman" w:cs="Times New Roman"/>
          <w:sz w:val="20"/>
          <w:szCs w:val="20"/>
        </w:rPr>
        <w:footnoteRef/>
      </w:r>
      <w:r w:rsidRPr="00A06821">
        <w:rPr>
          <w:rFonts w:ascii="Times New Roman" w:hAnsi="Times New Roman" w:cs="Times New Roman"/>
          <w:sz w:val="20"/>
          <w:szCs w:val="20"/>
        </w:rPr>
        <w:t xml:space="preserve"> Cases C-487/19, p. 109 and C‑896/19, </w:t>
      </w:r>
      <w:r w:rsidRPr="00A06821">
        <w:rPr>
          <w:rFonts w:ascii="Times New Roman" w:hAnsi="Times New Roman" w:cs="Times New Roman"/>
          <w:i/>
          <w:iCs/>
          <w:sz w:val="20"/>
          <w:szCs w:val="20"/>
        </w:rPr>
        <w:t>cit.</w:t>
      </w:r>
      <w:r w:rsidRPr="00A06821">
        <w:rPr>
          <w:rFonts w:ascii="Times New Roman" w:hAnsi="Times New Roman" w:cs="Times New Roman"/>
          <w:sz w:val="20"/>
          <w:szCs w:val="20"/>
        </w:rPr>
        <w:t>, p. 53.</w:t>
      </w:r>
    </w:p>
  </w:footnote>
  <w:footnote w:id="54">
    <w:p w14:paraId="1CB61814" w14:textId="77777777" w:rsidR="004148FA" w:rsidRPr="00A06821" w:rsidRDefault="004148FA"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Cases C-487/19, p. 111 and C‑192/18, Commission </w:t>
      </w:r>
      <w:r w:rsidRPr="00A06821">
        <w:rPr>
          <w:rFonts w:ascii="Times New Roman" w:hAnsi="Times New Roman" w:cs="Times New Roman"/>
          <w:i/>
          <w:iCs/>
        </w:rPr>
        <w:t>v.</w:t>
      </w:r>
      <w:r w:rsidRPr="00A06821">
        <w:rPr>
          <w:rFonts w:ascii="Times New Roman" w:hAnsi="Times New Roman" w:cs="Times New Roman"/>
        </w:rPr>
        <w:t xml:space="preserve"> Poland, 5 November 2019, p. 112.</w:t>
      </w:r>
    </w:p>
  </w:footnote>
  <w:footnote w:id="55">
    <w:p w14:paraId="10C689EA" w14:textId="43A26463" w:rsidR="004148FA" w:rsidRPr="00A06821" w:rsidRDefault="004148FA" w:rsidP="00987497">
      <w:pPr>
        <w:spacing w:after="0" w:line="240" w:lineRule="auto"/>
        <w:jc w:val="both"/>
        <w:rPr>
          <w:rFonts w:ascii="Times New Roman" w:hAnsi="Times New Roman" w:cs="Times New Roman"/>
          <w:sz w:val="20"/>
          <w:szCs w:val="20"/>
        </w:rPr>
      </w:pPr>
      <w:r w:rsidRPr="00A06821">
        <w:rPr>
          <w:rStyle w:val="Refdenotaalpie"/>
          <w:rFonts w:ascii="Times New Roman" w:hAnsi="Times New Roman" w:cs="Times New Roman"/>
          <w:sz w:val="20"/>
          <w:szCs w:val="20"/>
        </w:rPr>
        <w:footnoteRef/>
      </w:r>
      <w:r w:rsidRPr="00A06821">
        <w:rPr>
          <w:rFonts w:ascii="Times New Roman" w:hAnsi="Times New Roman" w:cs="Times New Roman"/>
          <w:sz w:val="20"/>
          <w:szCs w:val="20"/>
        </w:rPr>
        <w:t xml:space="preserve"> Transfers without consent of a judge to another division or court, or are capable of undermining the principles of the irremovability of judges and judicial independence, as far as they may constitute a way of exercising control over the content of judicial decisions because they are liable not only to affect the scope of the activities allocated to judges and the handling of cases entrusted to them, but also to have significant consequences on their life and career and, thus, to have effects similar to those of a disciplinary sanction. On the other hand, it is widely accepted that judges may be dismissed if they are deemed unfit for carrying out their duties on account of incapacity or a serious breach of their obligations, provided the appropriate procedures are followed (Cases C-487/19, p. 112-115 and C‑192/18, </w:t>
      </w:r>
      <w:r w:rsidRPr="00A06821">
        <w:rPr>
          <w:rFonts w:ascii="Times New Roman" w:hAnsi="Times New Roman" w:cs="Times New Roman"/>
          <w:i/>
          <w:iCs/>
          <w:sz w:val="20"/>
          <w:szCs w:val="20"/>
        </w:rPr>
        <w:t>cit.</w:t>
      </w:r>
      <w:r w:rsidRPr="00A06821">
        <w:rPr>
          <w:rFonts w:ascii="Times New Roman" w:hAnsi="Times New Roman" w:cs="Times New Roman"/>
          <w:sz w:val="20"/>
          <w:szCs w:val="20"/>
        </w:rPr>
        <w:t>, p. 113-115).</w:t>
      </w:r>
    </w:p>
  </w:footnote>
  <w:footnote w:id="56">
    <w:p w14:paraId="2BA596E6" w14:textId="46974E53" w:rsidR="004148FA" w:rsidRPr="00A06821" w:rsidRDefault="004148FA"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Rules which define both conduct amounting to disciplinary offences and the applicable penalties, providing for the involvement of an independent body </w:t>
      </w:r>
      <w:r w:rsidR="003B7CC4">
        <w:rPr>
          <w:rFonts w:ascii="Times New Roman" w:hAnsi="Times New Roman" w:cs="Times New Roman"/>
        </w:rPr>
        <w:t>under</w:t>
      </w:r>
      <w:r w:rsidRPr="00A06821">
        <w:rPr>
          <w:rFonts w:ascii="Times New Roman" w:hAnsi="Times New Roman" w:cs="Times New Roman"/>
        </w:rPr>
        <w:t xml:space="preserve"> a procedure which fully safeguards the rights enshrined in Articles 47 and 48 Charter, in particular the rights of the </w:t>
      </w:r>
      <w:r w:rsidRPr="005A13B2">
        <w:rPr>
          <w:rFonts w:ascii="Times New Roman" w:hAnsi="Times New Roman" w:cs="Times New Roman"/>
        </w:rPr>
        <w:t>defen</w:t>
      </w:r>
      <w:r w:rsidR="00375579" w:rsidRPr="005A13B2">
        <w:rPr>
          <w:rFonts w:ascii="Times New Roman" w:hAnsi="Times New Roman" w:cs="Times New Roman"/>
        </w:rPr>
        <w:t>c</w:t>
      </w:r>
      <w:r w:rsidRPr="005A13B2">
        <w:rPr>
          <w:rFonts w:ascii="Times New Roman" w:hAnsi="Times New Roman" w:cs="Times New Roman"/>
        </w:rPr>
        <w:t>e</w:t>
      </w:r>
      <w:r w:rsidRPr="00A06821">
        <w:rPr>
          <w:rFonts w:ascii="Times New Roman" w:hAnsi="Times New Roman" w:cs="Times New Roman"/>
        </w:rPr>
        <w:t xml:space="preserve">, and lay down the possibility of bringing legal proceedings challenging the disciplinary bodies’ decisions constitute a set of guarantees that are considered essential for safeguarding the independence of the judiciary (Cases C-487/19, p. 113 and C‑83/19, C‑127/19, C‑195/19, C‑291/19, C‑355/19 and C‑397/19, </w:t>
      </w:r>
      <w:r w:rsidRPr="00A06821">
        <w:rPr>
          <w:rFonts w:ascii="Times New Roman" w:hAnsi="Times New Roman" w:cs="Times New Roman"/>
          <w:i/>
          <w:iCs/>
        </w:rPr>
        <w:t>cit.</w:t>
      </w:r>
      <w:r w:rsidRPr="00A06821">
        <w:rPr>
          <w:rFonts w:ascii="Times New Roman" w:hAnsi="Times New Roman" w:cs="Times New Roman"/>
        </w:rPr>
        <w:t xml:space="preserve">, p. 198 and C‑791/19, </w:t>
      </w:r>
      <w:r w:rsidRPr="00A06821">
        <w:rPr>
          <w:rFonts w:ascii="Times New Roman" w:hAnsi="Times New Roman" w:cs="Times New Roman"/>
          <w:i/>
          <w:iCs/>
        </w:rPr>
        <w:t>cit.</w:t>
      </w:r>
      <w:r w:rsidRPr="00A06821">
        <w:rPr>
          <w:rFonts w:ascii="Times New Roman" w:hAnsi="Times New Roman" w:cs="Times New Roman"/>
        </w:rPr>
        <w:t xml:space="preserve">, p. ). The </w:t>
      </w:r>
      <w:r w:rsidR="002F5AD2">
        <w:rPr>
          <w:rFonts w:ascii="Times New Roman" w:hAnsi="Times New Roman" w:cs="Times New Roman"/>
        </w:rPr>
        <w:t>ECtHR</w:t>
      </w:r>
      <w:r w:rsidRPr="00A06821">
        <w:rPr>
          <w:rFonts w:ascii="Times New Roman" w:hAnsi="Times New Roman" w:cs="Times New Roman"/>
        </w:rPr>
        <w:t xml:space="preserve"> has also ruled along the same lines, underlining the importance of procedural safeguards and the possibility of a judicial remedy concerning decisions affecting the careers of judges, including their </w:t>
      </w:r>
      <w:r w:rsidRPr="00A06821">
        <w:rPr>
          <w:rFonts w:ascii="Times New Roman" w:hAnsi="Times New Roman" w:cs="Times New Roman"/>
          <w:i/>
          <w:iCs/>
        </w:rPr>
        <w:t>status</w:t>
      </w:r>
      <w:r w:rsidRPr="00A06821">
        <w:rPr>
          <w:rFonts w:ascii="Times New Roman" w:hAnsi="Times New Roman" w:cs="Times New Roman"/>
        </w:rPr>
        <w:t xml:space="preserve">, and in particular decisions to transfer them without their consent, </w:t>
      </w:r>
      <w:r w:rsidR="003B7CC4">
        <w:rPr>
          <w:rFonts w:ascii="Times New Roman" w:hAnsi="Times New Roman" w:cs="Times New Roman"/>
        </w:rPr>
        <w:t>to</w:t>
      </w:r>
      <w:r w:rsidRPr="00A06821">
        <w:rPr>
          <w:rFonts w:ascii="Times New Roman" w:hAnsi="Times New Roman" w:cs="Times New Roman"/>
        </w:rPr>
        <w:t xml:space="preserve"> ensure that their independence is not compromised by undue external influences, thus guaranteeing the independence of the judiciary </w:t>
      </w:r>
      <w:r w:rsidR="003B7CC4">
        <w:rPr>
          <w:rFonts w:ascii="Times New Roman" w:hAnsi="Times New Roman" w:cs="Times New Roman"/>
        </w:rPr>
        <w:t>concerning</w:t>
      </w:r>
      <w:r w:rsidRPr="00A06821">
        <w:rPr>
          <w:rFonts w:ascii="Times New Roman" w:hAnsi="Times New Roman" w:cs="Times New Roman"/>
        </w:rPr>
        <w:t xml:space="preserve"> other powers (see, to that effect, ECtHR, 9 March 2021, Bilgen </w:t>
      </w:r>
      <w:r w:rsidRPr="00A06821">
        <w:rPr>
          <w:rFonts w:ascii="Times New Roman" w:hAnsi="Times New Roman" w:cs="Times New Roman"/>
          <w:i/>
          <w:iCs/>
        </w:rPr>
        <w:t>v.</w:t>
      </w:r>
      <w:r w:rsidRPr="00A06821">
        <w:rPr>
          <w:rFonts w:ascii="Times New Roman" w:hAnsi="Times New Roman" w:cs="Times New Roman"/>
        </w:rPr>
        <w:t xml:space="preserve"> Turkey, §§  63 and 96 and 1 December 2020, Ástráðsson </w:t>
      </w:r>
      <w:r w:rsidRPr="00A06821">
        <w:rPr>
          <w:rFonts w:ascii="Times New Roman" w:hAnsi="Times New Roman" w:cs="Times New Roman"/>
          <w:i/>
          <w:iCs/>
        </w:rPr>
        <w:t>v.</w:t>
      </w:r>
      <w:r w:rsidRPr="00A06821">
        <w:rPr>
          <w:rFonts w:ascii="Times New Roman" w:hAnsi="Times New Roman" w:cs="Times New Roman"/>
        </w:rPr>
        <w:t xml:space="preserve"> Iceland, §§  231 and 233).</w:t>
      </w:r>
    </w:p>
  </w:footnote>
  <w:footnote w:id="57">
    <w:p w14:paraId="0A9AB493" w14:textId="77777777" w:rsidR="004148FA" w:rsidRPr="00A06821" w:rsidRDefault="004148FA" w:rsidP="00987497">
      <w:pPr>
        <w:spacing w:after="0" w:line="240" w:lineRule="auto"/>
        <w:jc w:val="both"/>
        <w:rPr>
          <w:rFonts w:ascii="Times New Roman" w:hAnsi="Times New Roman" w:cs="Times New Roman"/>
          <w:sz w:val="20"/>
          <w:szCs w:val="20"/>
        </w:rPr>
      </w:pPr>
      <w:r w:rsidRPr="00A06821">
        <w:rPr>
          <w:rStyle w:val="Refdenotaalpie"/>
          <w:rFonts w:ascii="Times New Roman" w:hAnsi="Times New Roman" w:cs="Times New Roman"/>
          <w:sz w:val="20"/>
          <w:szCs w:val="20"/>
        </w:rPr>
        <w:footnoteRef/>
      </w:r>
      <w:r w:rsidRPr="00A06821">
        <w:rPr>
          <w:rFonts w:ascii="Times New Roman" w:hAnsi="Times New Roman" w:cs="Times New Roman"/>
          <w:sz w:val="20"/>
          <w:szCs w:val="20"/>
        </w:rPr>
        <w:t xml:space="preserve"> In that sense, ECtHR, Ástráðsson </w:t>
      </w:r>
      <w:r w:rsidRPr="00A06821">
        <w:rPr>
          <w:rFonts w:ascii="Times New Roman" w:hAnsi="Times New Roman" w:cs="Times New Roman"/>
          <w:i/>
          <w:iCs/>
          <w:sz w:val="20"/>
          <w:szCs w:val="20"/>
        </w:rPr>
        <w:t>v.</w:t>
      </w:r>
      <w:r w:rsidRPr="00A06821">
        <w:rPr>
          <w:rFonts w:ascii="Times New Roman" w:hAnsi="Times New Roman" w:cs="Times New Roman"/>
          <w:sz w:val="20"/>
          <w:szCs w:val="20"/>
        </w:rPr>
        <w:t xml:space="preserve"> Iceland, </w:t>
      </w:r>
      <w:r w:rsidRPr="00A06821">
        <w:rPr>
          <w:rFonts w:ascii="Times New Roman" w:hAnsi="Times New Roman" w:cs="Times New Roman"/>
          <w:i/>
          <w:iCs/>
          <w:sz w:val="20"/>
          <w:szCs w:val="20"/>
        </w:rPr>
        <w:t>cit.</w:t>
      </w:r>
      <w:r w:rsidRPr="00A06821">
        <w:rPr>
          <w:rFonts w:ascii="Times New Roman" w:hAnsi="Times New Roman" w:cs="Times New Roman"/>
          <w:sz w:val="20"/>
          <w:szCs w:val="20"/>
        </w:rPr>
        <w:t>, §§º 227 and 232, and case C-487/19, p. 126.</w:t>
      </w:r>
    </w:p>
  </w:footnote>
  <w:footnote w:id="58">
    <w:p w14:paraId="4E6CC6DC" w14:textId="4F8DA5A8" w:rsidR="00BB2CD7" w:rsidRPr="00A06821" w:rsidRDefault="00BB2CD7"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7F7C84" w:rsidRPr="00A06821">
        <w:rPr>
          <w:rFonts w:ascii="Times New Roman" w:hAnsi="Times New Roman" w:cs="Times New Roman"/>
          <w:i/>
          <w:iCs/>
        </w:rPr>
        <w:t>Ibidem</w:t>
      </w:r>
      <w:r w:rsidR="00113538" w:rsidRPr="00A06821">
        <w:rPr>
          <w:rFonts w:ascii="Times New Roman" w:hAnsi="Times New Roman" w:cs="Times New Roman"/>
        </w:rPr>
        <w:t>.</w:t>
      </w:r>
      <w:r w:rsidR="00BF42C0" w:rsidRPr="00A06821">
        <w:rPr>
          <w:rFonts w:ascii="Times New Roman" w:hAnsi="Times New Roman" w:cs="Times New Roman"/>
        </w:rPr>
        <w:t xml:space="preserve"> Cases C-824</w:t>
      </w:r>
      <w:r w:rsidR="007B2AEF" w:rsidRPr="00A06821">
        <w:rPr>
          <w:rFonts w:ascii="Times New Roman" w:hAnsi="Times New Roman" w:cs="Times New Roman"/>
        </w:rPr>
        <w:t xml:space="preserve">/18, </w:t>
      </w:r>
      <w:r w:rsidR="007B2AEF" w:rsidRPr="00A06821">
        <w:rPr>
          <w:rFonts w:ascii="Times New Roman" w:hAnsi="Times New Roman" w:cs="Times New Roman"/>
          <w:i/>
          <w:iCs/>
        </w:rPr>
        <w:t>cit.</w:t>
      </w:r>
      <w:r w:rsidR="007B2AEF" w:rsidRPr="00A06821">
        <w:rPr>
          <w:rFonts w:ascii="Times New Roman" w:hAnsi="Times New Roman" w:cs="Times New Roman"/>
        </w:rPr>
        <w:t>, p. 117, 119 and 123</w:t>
      </w:r>
      <w:r w:rsidR="003C5D72" w:rsidRPr="00A06821">
        <w:rPr>
          <w:rFonts w:ascii="Times New Roman" w:hAnsi="Times New Roman" w:cs="Times New Roman"/>
        </w:rPr>
        <w:t xml:space="preserve">. </w:t>
      </w:r>
    </w:p>
  </w:footnote>
  <w:footnote w:id="59">
    <w:p w14:paraId="71D4598C" w14:textId="478EE00C" w:rsidR="00C130F1" w:rsidRPr="00A06821" w:rsidRDefault="00C130F1"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481B54" w:rsidRPr="00A06821">
        <w:rPr>
          <w:rFonts w:ascii="Times New Roman" w:hAnsi="Times New Roman" w:cs="Times New Roman"/>
        </w:rPr>
        <w:t xml:space="preserve">The 2022 </w:t>
      </w:r>
      <w:r w:rsidRPr="00A06821">
        <w:rPr>
          <w:rFonts w:ascii="Times New Roman" w:hAnsi="Times New Roman" w:cs="Times New Roman"/>
        </w:rPr>
        <w:t>EU Justice Score</w:t>
      </w:r>
      <w:r w:rsidR="007A61B6" w:rsidRPr="00A06821">
        <w:rPr>
          <w:rFonts w:ascii="Times New Roman" w:hAnsi="Times New Roman" w:cs="Times New Roman"/>
        </w:rPr>
        <w:t xml:space="preserve">board, </w:t>
      </w:r>
      <w:r w:rsidR="00481B54" w:rsidRPr="00A06821">
        <w:rPr>
          <w:rFonts w:ascii="Times New Roman" w:hAnsi="Times New Roman" w:cs="Times New Roman"/>
        </w:rPr>
        <w:t xml:space="preserve">19 May 2022, </w:t>
      </w:r>
      <w:r w:rsidR="007A61B6" w:rsidRPr="00A06821">
        <w:rPr>
          <w:rFonts w:ascii="Times New Roman" w:hAnsi="Times New Roman" w:cs="Times New Roman"/>
        </w:rPr>
        <w:t>figures 50 and 52</w:t>
      </w:r>
      <w:r w:rsidR="00481B54" w:rsidRPr="00A06821">
        <w:rPr>
          <w:rFonts w:ascii="Times New Roman" w:hAnsi="Times New Roman" w:cs="Times New Roman"/>
        </w:rPr>
        <w:t>, https://ec.europa.eu/info/policies/justice-and-fundamental-rights/upholding-rule-law/eu-justice-scoreboard_en</w:t>
      </w:r>
    </w:p>
  </w:footnote>
  <w:footnote w:id="60">
    <w:p w14:paraId="638814EE" w14:textId="2F71162E" w:rsidR="006152F3" w:rsidRPr="00A06821" w:rsidRDefault="006152F3"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MOLITERNO</w:t>
      </w:r>
      <w:r w:rsidR="00982ADB" w:rsidRPr="00A06821">
        <w:rPr>
          <w:rFonts w:ascii="Times New Roman" w:hAnsi="Times New Roman" w:cs="Times New Roman"/>
        </w:rPr>
        <w:t>, J.</w:t>
      </w:r>
      <w:r w:rsidRPr="00A06821">
        <w:rPr>
          <w:rFonts w:ascii="Times New Roman" w:hAnsi="Times New Roman" w:cs="Times New Roman"/>
        </w:rPr>
        <w:t xml:space="preserve"> and </w:t>
      </w:r>
      <w:r w:rsidR="00982ADB" w:rsidRPr="00A06821">
        <w:rPr>
          <w:rFonts w:ascii="Times New Roman" w:hAnsi="Times New Roman" w:cs="Times New Roman"/>
        </w:rPr>
        <w:t xml:space="preserve">CUROS, P., </w:t>
      </w:r>
      <w:r w:rsidR="00982ADB" w:rsidRPr="00A06821">
        <w:rPr>
          <w:rFonts w:ascii="Times New Roman" w:hAnsi="Times New Roman" w:cs="Times New Roman"/>
          <w:i/>
          <w:iCs/>
        </w:rPr>
        <w:t>cit</w:t>
      </w:r>
      <w:r w:rsidR="00982ADB" w:rsidRPr="00A06821">
        <w:rPr>
          <w:rFonts w:ascii="Times New Roman" w:hAnsi="Times New Roman" w:cs="Times New Roman"/>
        </w:rPr>
        <w:t>.</w:t>
      </w:r>
    </w:p>
  </w:footnote>
  <w:footnote w:id="61">
    <w:p w14:paraId="197840C4" w14:textId="7A65E102" w:rsidR="00323DF2" w:rsidRPr="00A06821" w:rsidRDefault="00323DF2"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Case C-216/18, LM, 25 July 2018, p. 67.</w:t>
      </w:r>
    </w:p>
  </w:footnote>
  <w:footnote w:id="62">
    <w:p w14:paraId="13F735FE" w14:textId="0276C467" w:rsidR="00B40075" w:rsidRPr="00A06821" w:rsidRDefault="00B40075"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4F12B1" w:rsidRPr="00A06821">
        <w:rPr>
          <w:rFonts w:ascii="Times New Roman" w:hAnsi="Times New Roman" w:cs="Times New Roman"/>
        </w:rPr>
        <w:t xml:space="preserve">COM(2022) 500 final, </w:t>
      </w:r>
      <w:r w:rsidR="004F12B1" w:rsidRPr="00A06821">
        <w:rPr>
          <w:rFonts w:ascii="Times New Roman" w:hAnsi="Times New Roman" w:cs="Times New Roman"/>
          <w:i/>
          <w:iCs/>
        </w:rPr>
        <w:t>cit</w:t>
      </w:r>
      <w:r w:rsidR="004F12B1" w:rsidRPr="00A06821">
        <w:rPr>
          <w:rFonts w:ascii="Times New Roman" w:hAnsi="Times New Roman" w:cs="Times New Roman"/>
        </w:rPr>
        <w:t>.</w:t>
      </w:r>
    </w:p>
  </w:footnote>
  <w:footnote w:id="63">
    <w:p w14:paraId="0656A07E" w14:textId="0F7F8F03" w:rsidR="00827248" w:rsidRPr="00A06821" w:rsidRDefault="00827248"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3B1423" w:rsidRPr="00A06821">
        <w:rPr>
          <w:rFonts w:ascii="Times New Roman" w:hAnsi="Times New Roman" w:cs="Times New Roman"/>
        </w:rPr>
        <w:t xml:space="preserve">Unfortunately, the efforts by the </w:t>
      </w:r>
      <w:r w:rsidR="00316B59" w:rsidRPr="00A06821">
        <w:rPr>
          <w:rFonts w:ascii="Times New Roman" w:hAnsi="Times New Roman" w:cs="Times New Roman"/>
        </w:rPr>
        <w:t xml:space="preserve">CJEU and the </w:t>
      </w:r>
      <w:r w:rsidR="003B1423" w:rsidRPr="00A06821">
        <w:rPr>
          <w:rFonts w:ascii="Times New Roman" w:hAnsi="Times New Roman" w:cs="Times New Roman"/>
        </w:rPr>
        <w:t xml:space="preserve">ECtHR </w:t>
      </w:r>
      <w:r w:rsidR="00316B59" w:rsidRPr="00A06821">
        <w:rPr>
          <w:rFonts w:ascii="Times New Roman" w:hAnsi="Times New Roman" w:cs="Times New Roman"/>
        </w:rPr>
        <w:t xml:space="preserve">to mitigate threats to judicial independence have not been enough to put an end to the </w:t>
      </w:r>
      <w:r w:rsidR="00062F6C">
        <w:rPr>
          <w:rFonts w:ascii="Times New Roman" w:hAnsi="Times New Roman" w:cs="Times New Roman"/>
        </w:rPr>
        <w:t>Rule of Law</w:t>
      </w:r>
      <w:r w:rsidR="00316B59" w:rsidRPr="00A06821">
        <w:rPr>
          <w:rFonts w:ascii="Times New Roman" w:hAnsi="Times New Roman" w:cs="Times New Roman"/>
        </w:rPr>
        <w:t xml:space="preserve"> crisis.</w:t>
      </w:r>
    </w:p>
  </w:footnote>
  <w:footnote w:id="64">
    <w:p w14:paraId="556562D3" w14:textId="73963756" w:rsidR="005629B3" w:rsidRPr="00A06821" w:rsidRDefault="005629B3"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FREEBERG, J.</w:t>
      </w:r>
      <w:r w:rsidR="0099766F" w:rsidRPr="00A06821">
        <w:rPr>
          <w:rFonts w:ascii="Times New Roman" w:hAnsi="Times New Roman" w:cs="Times New Roman"/>
        </w:rPr>
        <w:t xml:space="preserve">, </w:t>
      </w:r>
      <w:r w:rsidR="0099766F" w:rsidRPr="00A06821">
        <w:rPr>
          <w:rFonts w:ascii="Times New Roman" w:hAnsi="Times New Roman" w:cs="Times New Roman"/>
          <w:i/>
          <w:iCs/>
        </w:rPr>
        <w:t>cit.</w:t>
      </w:r>
    </w:p>
  </w:footnote>
  <w:footnote w:id="65">
    <w:p w14:paraId="386F71F6" w14:textId="77777777" w:rsidR="004C55DC" w:rsidRPr="00A06821" w:rsidRDefault="004C55D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BÁRD, P. </w:t>
      </w:r>
      <w:r w:rsidRPr="00A06821">
        <w:rPr>
          <w:rFonts w:ascii="Times New Roman" w:hAnsi="Times New Roman" w:cs="Times New Roman"/>
          <w:i/>
          <w:iCs/>
        </w:rPr>
        <w:t>cit</w:t>
      </w:r>
      <w:r w:rsidRPr="00A06821">
        <w:rPr>
          <w:rFonts w:ascii="Times New Roman" w:hAnsi="Times New Roman" w:cs="Times New Roman"/>
        </w:rPr>
        <w:t>. BÁRD concludes by saying that «[o]ne hand, illiberal democracies have tried to disguise their strong political will, pernicious strategies and fake narratives under the letter of the law, while on the other hand, the EU executive and legislative branches of hidden their political impassiveness, if not weakness, behind a plethora of soft and allegedly law tools».</w:t>
      </w:r>
    </w:p>
  </w:footnote>
  <w:footnote w:id="66">
    <w:p w14:paraId="0B3040E1" w14:textId="4CD1988E" w:rsidR="00A44E58" w:rsidRPr="00A06821" w:rsidRDefault="00A44E58"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SADURSKI, W., «How </w:t>
      </w:r>
      <w:r w:rsidR="00427F56" w:rsidRPr="00A06821">
        <w:rPr>
          <w:rFonts w:ascii="Times New Roman" w:hAnsi="Times New Roman" w:cs="Times New Roman"/>
        </w:rPr>
        <w:t>Democracy</w:t>
      </w:r>
      <w:r w:rsidRPr="00A06821">
        <w:rPr>
          <w:rFonts w:ascii="Times New Roman" w:hAnsi="Times New Roman" w:cs="Times New Roman"/>
        </w:rPr>
        <w:t xml:space="preserve"> Dies (in Poland): A Case Study of an Anti-Constitutional Populist Backsliding», </w:t>
      </w:r>
      <w:r w:rsidRPr="00A06821">
        <w:rPr>
          <w:rFonts w:ascii="Times New Roman" w:hAnsi="Times New Roman" w:cs="Times New Roman"/>
          <w:i/>
          <w:iCs/>
        </w:rPr>
        <w:t>Revista Forumul Judecatorilor</w:t>
      </w:r>
      <w:r w:rsidRPr="00A06821">
        <w:rPr>
          <w:rFonts w:ascii="Times New Roman" w:hAnsi="Times New Roman" w:cs="Times New Roman"/>
        </w:rPr>
        <w:t>, vol. 2018, no. 1, pp. 104-178.</w:t>
      </w:r>
    </w:p>
  </w:footnote>
  <w:footnote w:id="67">
    <w:p w14:paraId="40D98AA4" w14:textId="762A7E24" w:rsidR="0059714F" w:rsidRPr="00A06821" w:rsidRDefault="0059714F"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SADURSKI, W., </w:t>
      </w:r>
      <w:r w:rsidRPr="00A06821">
        <w:rPr>
          <w:rFonts w:ascii="Times New Roman" w:hAnsi="Times New Roman" w:cs="Times New Roman"/>
          <w:i/>
          <w:iCs/>
        </w:rPr>
        <w:t>cit</w:t>
      </w:r>
      <w:r w:rsidRPr="00A06821">
        <w:rPr>
          <w:rFonts w:ascii="Times New Roman" w:hAnsi="Times New Roman" w:cs="Times New Roman"/>
        </w:rPr>
        <w:t xml:space="preserve">; </w:t>
      </w:r>
      <w:r w:rsidR="00C84C65" w:rsidRPr="00A06821">
        <w:rPr>
          <w:rFonts w:ascii="Times New Roman" w:hAnsi="Times New Roman" w:cs="Times New Roman"/>
        </w:rPr>
        <w:t>KOVÁCS</w:t>
      </w:r>
      <w:r w:rsidRPr="00A06821">
        <w:rPr>
          <w:rFonts w:ascii="Times New Roman" w:hAnsi="Times New Roman" w:cs="Times New Roman"/>
        </w:rPr>
        <w:t>, K. and SCHEPPELE, K., «The Fragility of an Independent Judiciary: Lessons from</w:t>
      </w:r>
      <w:r w:rsidR="00B60F68" w:rsidRPr="00A06821">
        <w:rPr>
          <w:rFonts w:ascii="Times New Roman" w:hAnsi="Times New Roman" w:cs="Times New Roman"/>
        </w:rPr>
        <w:t xml:space="preserve"> Hungary and Poland – and the European Union», </w:t>
      </w:r>
      <w:r w:rsidR="00B60F68" w:rsidRPr="00A06821">
        <w:rPr>
          <w:rFonts w:ascii="Times New Roman" w:hAnsi="Times New Roman" w:cs="Times New Roman"/>
          <w:i/>
          <w:iCs/>
        </w:rPr>
        <w:t>Communist and Post-Communist Studies</w:t>
      </w:r>
      <w:r w:rsidR="00B60F68" w:rsidRPr="00A06821">
        <w:rPr>
          <w:rFonts w:ascii="Times New Roman" w:hAnsi="Times New Roman" w:cs="Times New Roman"/>
        </w:rPr>
        <w:t>, vol. 51, no. 3, 2018, pp.189-200.</w:t>
      </w:r>
    </w:p>
  </w:footnote>
  <w:footnote w:id="68">
    <w:p w14:paraId="77FC1F7F" w14:textId="5F47BE0C" w:rsidR="008E71BC" w:rsidRPr="00A06821" w:rsidRDefault="008E71B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407120" w:rsidRPr="00A06821">
        <w:rPr>
          <w:rFonts w:ascii="Times New Roman" w:hAnsi="Times New Roman" w:cs="Times New Roman"/>
        </w:rPr>
        <w:t xml:space="preserve">Krajowa Rada Sadownictwa (KRS), in polish. Before 2017, seventeen out of twenty-five members of the KRS were chosen from within the judiciary, but after 2017, twenty-three out of twenty-five members were selected by the political branches of power. As the KRS is supposed to safeguard the independence of courts and judges, the takeover of this body is essential to seeking control over the judiciary. Due to that, the European Network of Councils for the Judiciary (ENCJ) suspended the KRS in September 2018. MOLITERNO, J. and CUROS, P., </w:t>
      </w:r>
      <w:r w:rsidR="00407120" w:rsidRPr="00A06821">
        <w:rPr>
          <w:rFonts w:ascii="Times New Roman" w:hAnsi="Times New Roman" w:cs="Times New Roman"/>
          <w:i/>
          <w:iCs/>
        </w:rPr>
        <w:t>cit</w:t>
      </w:r>
      <w:r w:rsidR="00407120" w:rsidRPr="00A06821">
        <w:rPr>
          <w:rFonts w:ascii="Times New Roman" w:hAnsi="Times New Roman" w:cs="Times New Roman"/>
        </w:rPr>
        <w:t>.</w:t>
      </w:r>
    </w:p>
  </w:footnote>
  <w:footnote w:id="69">
    <w:p w14:paraId="37DA5B85" w14:textId="7E930297" w:rsidR="00EC6194" w:rsidRPr="00A06821" w:rsidRDefault="00EC6194"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5F4D50" w:rsidRPr="00A06821">
        <w:rPr>
          <w:rFonts w:ascii="Times New Roman" w:hAnsi="Times New Roman" w:cs="Times New Roman"/>
        </w:rPr>
        <w:t>Venice Co</w:t>
      </w:r>
      <w:r w:rsidR="007F2B70" w:rsidRPr="00A06821">
        <w:rPr>
          <w:rFonts w:ascii="Times New Roman" w:hAnsi="Times New Roman" w:cs="Times New Roman"/>
        </w:rPr>
        <w:t>m</w:t>
      </w:r>
      <w:r w:rsidR="005F4D50" w:rsidRPr="00A06821">
        <w:rPr>
          <w:rFonts w:ascii="Times New Roman" w:hAnsi="Times New Roman" w:cs="Times New Roman"/>
        </w:rPr>
        <w:t>mission</w:t>
      </w:r>
      <w:r w:rsidR="00DC51B5" w:rsidRPr="00A06821">
        <w:rPr>
          <w:rFonts w:ascii="Times New Roman" w:hAnsi="Times New Roman" w:cs="Times New Roman"/>
        </w:rPr>
        <w:t xml:space="preserve"> (the European Commission on Democracy through Law of </w:t>
      </w:r>
      <w:r w:rsidR="003B7CC4">
        <w:rPr>
          <w:rFonts w:ascii="Times New Roman" w:hAnsi="Times New Roman" w:cs="Times New Roman"/>
        </w:rPr>
        <w:t xml:space="preserve">the </w:t>
      </w:r>
      <w:r w:rsidR="00DC51B5" w:rsidRPr="00A06821">
        <w:rPr>
          <w:rFonts w:ascii="Times New Roman" w:hAnsi="Times New Roman" w:cs="Times New Roman"/>
        </w:rPr>
        <w:t>Council of Europe)</w:t>
      </w:r>
      <w:r w:rsidR="005F4D50" w:rsidRPr="00A06821">
        <w:rPr>
          <w:rFonts w:ascii="Times New Roman" w:hAnsi="Times New Roman" w:cs="Times New Roman"/>
        </w:rPr>
        <w:t xml:space="preserve"> Opinion no. 977/2020</w:t>
      </w:r>
      <w:r w:rsidR="007F2B70" w:rsidRPr="00A06821">
        <w:rPr>
          <w:rFonts w:ascii="Times New Roman" w:hAnsi="Times New Roman" w:cs="Times New Roman"/>
        </w:rPr>
        <w:t xml:space="preserve">,  </w:t>
      </w:r>
      <w:hyperlink r:id="rId4" w:history="1">
        <w:r w:rsidR="007F2B70" w:rsidRPr="00A06821">
          <w:rPr>
            <w:rStyle w:val="Hipervnculo"/>
            <w:rFonts w:ascii="Times New Roman" w:hAnsi="Times New Roman" w:cs="Times New Roman"/>
          </w:rPr>
          <w:t>https://www.venice.coe.int/webforms/documents/default.aspx?pdffile=CDL-PI</w:t>
        </w:r>
      </w:hyperlink>
      <w:r w:rsidR="005F4D50" w:rsidRPr="00A06821">
        <w:rPr>
          <w:rFonts w:ascii="Times New Roman" w:hAnsi="Times New Roman" w:cs="Times New Roman"/>
        </w:rPr>
        <w:t>; (2020)002-e</w:t>
      </w:r>
      <w:r w:rsidR="00C84C65" w:rsidRPr="00A06821">
        <w:rPr>
          <w:rFonts w:ascii="Times New Roman" w:hAnsi="Times New Roman" w:cs="Times New Roman"/>
        </w:rPr>
        <w:t xml:space="preserve">. </w:t>
      </w:r>
      <w:r w:rsidR="0086745F" w:rsidRPr="00A06821">
        <w:rPr>
          <w:rFonts w:ascii="Times New Roman" w:hAnsi="Times New Roman" w:cs="Times New Roman"/>
        </w:rPr>
        <w:t xml:space="preserve">MOLITERNO, J. and CUROS, P., </w:t>
      </w:r>
      <w:r w:rsidR="0086745F" w:rsidRPr="00A06821">
        <w:rPr>
          <w:rFonts w:ascii="Times New Roman" w:hAnsi="Times New Roman" w:cs="Times New Roman"/>
          <w:i/>
          <w:iCs/>
        </w:rPr>
        <w:t>cit</w:t>
      </w:r>
      <w:r w:rsidR="0086745F" w:rsidRPr="00A06821">
        <w:rPr>
          <w:rFonts w:ascii="Times New Roman" w:hAnsi="Times New Roman" w:cs="Times New Roman"/>
        </w:rPr>
        <w:t>.</w:t>
      </w:r>
      <w:r w:rsidR="001041AA" w:rsidRPr="00A06821">
        <w:rPr>
          <w:rFonts w:ascii="Times New Roman" w:hAnsi="Times New Roman" w:cs="Times New Roman"/>
        </w:rPr>
        <w:t xml:space="preserve"> See </w:t>
      </w:r>
      <w:r w:rsidR="001D1D38" w:rsidRPr="00A06821">
        <w:rPr>
          <w:rFonts w:ascii="Times New Roman" w:hAnsi="Times New Roman" w:cs="Times New Roman"/>
        </w:rPr>
        <w:t xml:space="preserve">case C-619/18, </w:t>
      </w:r>
      <w:r w:rsidR="009F5871" w:rsidRPr="00A06821">
        <w:rPr>
          <w:rFonts w:ascii="Times New Roman" w:hAnsi="Times New Roman" w:cs="Times New Roman"/>
        </w:rPr>
        <w:t xml:space="preserve">Commission </w:t>
      </w:r>
      <w:r w:rsidR="009F5871" w:rsidRPr="00A06821">
        <w:rPr>
          <w:rFonts w:ascii="Times New Roman" w:hAnsi="Times New Roman" w:cs="Times New Roman"/>
          <w:i/>
          <w:iCs/>
        </w:rPr>
        <w:t>v.</w:t>
      </w:r>
      <w:r w:rsidR="009F5871" w:rsidRPr="00A06821">
        <w:rPr>
          <w:rFonts w:ascii="Times New Roman" w:hAnsi="Times New Roman" w:cs="Times New Roman"/>
        </w:rPr>
        <w:t xml:space="preserve"> Republic of Poland, 24 June 2019, and </w:t>
      </w:r>
      <w:r w:rsidR="001D1D38" w:rsidRPr="00A06821">
        <w:rPr>
          <w:rFonts w:ascii="Times New Roman" w:hAnsi="Times New Roman" w:cs="Times New Roman"/>
        </w:rPr>
        <w:t>joined c</w:t>
      </w:r>
      <w:r w:rsidR="001041AA" w:rsidRPr="00A06821">
        <w:rPr>
          <w:rFonts w:ascii="Times New Roman" w:hAnsi="Times New Roman" w:cs="Times New Roman"/>
        </w:rPr>
        <w:t>ase</w:t>
      </w:r>
      <w:r w:rsidR="001D1D38" w:rsidRPr="00A06821">
        <w:rPr>
          <w:rFonts w:ascii="Times New Roman" w:hAnsi="Times New Roman" w:cs="Times New Roman"/>
        </w:rPr>
        <w:t>s</w:t>
      </w:r>
      <w:r w:rsidR="001041AA" w:rsidRPr="00A06821">
        <w:rPr>
          <w:rFonts w:ascii="Times New Roman" w:hAnsi="Times New Roman" w:cs="Times New Roman"/>
        </w:rPr>
        <w:t xml:space="preserve"> </w:t>
      </w:r>
      <w:r w:rsidR="001D1D38" w:rsidRPr="00A06821">
        <w:rPr>
          <w:rFonts w:ascii="Times New Roman" w:hAnsi="Times New Roman" w:cs="Times New Roman"/>
        </w:rPr>
        <w:t>C‑585/18, C‑624/18 and C‑625/18, A. K. and Others (Independence of the Disciplinary Chamber of the Supreme Court), 19 November 2019.</w:t>
      </w:r>
    </w:p>
  </w:footnote>
  <w:footnote w:id="70">
    <w:p w14:paraId="411C9639" w14:textId="456E1C3B" w:rsidR="003913E8" w:rsidRPr="00A06821" w:rsidRDefault="003913E8"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MOLITERNO, J. and CUROS, P., </w:t>
      </w:r>
      <w:r w:rsidRPr="00A06821">
        <w:rPr>
          <w:rFonts w:ascii="Times New Roman" w:hAnsi="Times New Roman" w:cs="Times New Roman"/>
          <w:i/>
          <w:iCs/>
        </w:rPr>
        <w:t>cit</w:t>
      </w:r>
      <w:r w:rsidRPr="00A06821">
        <w:rPr>
          <w:rFonts w:ascii="Times New Roman" w:hAnsi="Times New Roman" w:cs="Times New Roman"/>
        </w:rPr>
        <w:t>.</w:t>
      </w:r>
      <w:r w:rsidR="005F4D50" w:rsidRPr="00A06821">
        <w:rPr>
          <w:rFonts w:ascii="Times New Roman" w:hAnsi="Times New Roman" w:cs="Times New Roman"/>
        </w:rPr>
        <w:t xml:space="preserve">, FREEBERG, J., </w:t>
      </w:r>
      <w:r w:rsidR="005F4D50" w:rsidRPr="00A06821">
        <w:rPr>
          <w:rFonts w:ascii="Times New Roman" w:hAnsi="Times New Roman" w:cs="Times New Roman"/>
          <w:i/>
          <w:iCs/>
        </w:rPr>
        <w:t>cit</w:t>
      </w:r>
      <w:r w:rsidR="005F4D50" w:rsidRPr="00A06821">
        <w:rPr>
          <w:rFonts w:ascii="Times New Roman" w:hAnsi="Times New Roman" w:cs="Times New Roman"/>
        </w:rPr>
        <w:t>.</w:t>
      </w:r>
    </w:p>
  </w:footnote>
  <w:footnote w:id="71">
    <w:p w14:paraId="641DBB7F" w14:textId="02936409" w:rsidR="00034C47" w:rsidRPr="00A06821" w:rsidRDefault="00034C47"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5F4D50" w:rsidRPr="00A06821">
        <w:rPr>
          <w:rFonts w:ascii="Times New Roman" w:hAnsi="Times New Roman" w:cs="Times New Roman"/>
        </w:rPr>
        <w:t xml:space="preserve">Venice Commission Opinion no. 977/2020, </w:t>
      </w:r>
      <w:r w:rsidR="005F4D50" w:rsidRPr="00A06821">
        <w:rPr>
          <w:rFonts w:ascii="Times New Roman" w:hAnsi="Times New Roman" w:cs="Times New Roman"/>
          <w:i/>
          <w:iCs/>
        </w:rPr>
        <w:t>cit</w:t>
      </w:r>
      <w:r w:rsidR="005F4D50" w:rsidRPr="00A06821">
        <w:rPr>
          <w:rFonts w:ascii="Times New Roman" w:hAnsi="Times New Roman" w:cs="Times New Roman"/>
        </w:rPr>
        <w:t xml:space="preserve">. </w:t>
      </w:r>
      <w:r w:rsidR="00903710" w:rsidRPr="00A06821">
        <w:rPr>
          <w:rFonts w:ascii="Times New Roman" w:hAnsi="Times New Roman" w:cs="Times New Roman"/>
        </w:rPr>
        <w:t>Case C-192/18, Eur</w:t>
      </w:r>
      <w:r w:rsidR="00CD2A3A" w:rsidRPr="00A06821">
        <w:rPr>
          <w:rFonts w:ascii="Times New Roman" w:hAnsi="Times New Roman" w:cs="Times New Roman"/>
        </w:rPr>
        <w:t xml:space="preserve">opean Commission </w:t>
      </w:r>
      <w:r w:rsidR="0083769E" w:rsidRPr="00A06821">
        <w:rPr>
          <w:rFonts w:ascii="Times New Roman" w:hAnsi="Times New Roman" w:cs="Times New Roman"/>
          <w:i/>
          <w:iCs/>
        </w:rPr>
        <w:t xml:space="preserve"> </w:t>
      </w:r>
      <w:r w:rsidR="00CD2A3A" w:rsidRPr="00A06821">
        <w:rPr>
          <w:rFonts w:ascii="Times New Roman" w:hAnsi="Times New Roman" w:cs="Times New Roman"/>
        </w:rPr>
        <w:t xml:space="preserve"> Republic of Poland, 5 November 2019.</w:t>
      </w:r>
    </w:p>
  </w:footnote>
  <w:footnote w:id="72">
    <w:p w14:paraId="18185406" w14:textId="7FD3347F" w:rsidR="00EB3B20" w:rsidRPr="00A06821" w:rsidRDefault="00C7380D"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1F6CD0" w:rsidRPr="00A06821">
        <w:rPr>
          <w:rFonts w:ascii="Times New Roman" w:hAnsi="Times New Roman" w:cs="Times New Roman"/>
        </w:rPr>
        <w:t xml:space="preserve">Case </w:t>
      </w:r>
      <w:r w:rsidR="005F0828" w:rsidRPr="00A06821">
        <w:rPr>
          <w:rFonts w:ascii="Times New Roman" w:hAnsi="Times New Roman" w:cs="Times New Roman"/>
        </w:rPr>
        <w:t xml:space="preserve">C-487/19 </w:t>
      </w:r>
      <w:r w:rsidR="00835548" w:rsidRPr="00A06821">
        <w:rPr>
          <w:rFonts w:ascii="Times New Roman" w:hAnsi="Times New Roman" w:cs="Times New Roman"/>
        </w:rPr>
        <w:t>CJEU</w:t>
      </w:r>
      <w:r w:rsidR="005F0828" w:rsidRPr="00A06821">
        <w:rPr>
          <w:rFonts w:ascii="Times New Roman" w:hAnsi="Times New Roman" w:cs="Times New Roman"/>
        </w:rPr>
        <w:t xml:space="preserve">. </w:t>
      </w:r>
      <w:r w:rsidR="00FA49BF" w:rsidRPr="00A06821">
        <w:rPr>
          <w:rFonts w:ascii="Times New Roman" w:hAnsi="Times New Roman" w:cs="Times New Roman"/>
        </w:rPr>
        <w:t>Mr.</w:t>
      </w:r>
      <w:r w:rsidR="000542E9" w:rsidRPr="00A06821">
        <w:rPr>
          <w:rFonts w:ascii="Times New Roman" w:hAnsi="Times New Roman" w:cs="Times New Roman"/>
        </w:rPr>
        <w:t xml:space="preserve"> Zurek </w:t>
      </w:r>
      <w:r w:rsidR="00EF0428" w:rsidRPr="00A06821">
        <w:rPr>
          <w:rFonts w:ascii="Times New Roman" w:hAnsi="Times New Roman" w:cs="Times New Roman"/>
        </w:rPr>
        <w:t xml:space="preserve">also </w:t>
      </w:r>
      <w:r w:rsidR="000542E9" w:rsidRPr="00A06821">
        <w:rPr>
          <w:rFonts w:ascii="Times New Roman" w:hAnsi="Times New Roman" w:cs="Times New Roman"/>
        </w:rPr>
        <w:t>presented a request to EC</w:t>
      </w:r>
      <w:r w:rsidR="00855F6C" w:rsidRPr="00A06821">
        <w:rPr>
          <w:rFonts w:ascii="Times New Roman" w:hAnsi="Times New Roman" w:cs="Times New Roman"/>
        </w:rPr>
        <w:t>t</w:t>
      </w:r>
      <w:r w:rsidR="000542E9" w:rsidRPr="00A06821">
        <w:rPr>
          <w:rFonts w:ascii="Times New Roman" w:hAnsi="Times New Roman" w:cs="Times New Roman"/>
        </w:rPr>
        <w:t xml:space="preserve">HR </w:t>
      </w:r>
      <w:r w:rsidR="003A7A3B" w:rsidRPr="00A06821">
        <w:rPr>
          <w:rFonts w:ascii="Times New Roman" w:hAnsi="Times New Roman" w:cs="Times New Roman"/>
        </w:rPr>
        <w:t xml:space="preserve">(application no. 39650/18) </w:t>
      </w:r>
      <w:r w:rsidR="000542E9" w:rsidRPr="00A06821">
        <w:rPr>
          <w:rFonts w:ascii="Times New Roman" w:hAnsi="Times New Roman" w:cs="Times New Roman"/>
        </w:rPr>
        <w:t xml:space="preserve">that </w:t>
      </w:r>
      <w:r w:rsidR="00623068" w:rsidRPr="00A06821">
        <w:rPr>
          <w:rFonts w:ascii="Times New Roman" w:hAnsi="Times New Roman" w:cs="Times New Roman"/>
        </w:rPr>
        <w:t>found,</w:t>
      </w:r>
      <w:r w:rsidR="000542E9" w:rsidRPr="00A06821">
        <w:rPr>
          <w:rFonts w:ascii="Times New Roman" w:hAnsi="Times New Roman" w:cs="Times New Roman"/>
        </w:rPr>
        <w:t xml:space="preserve"> </w:t>
      </w:r>
      <w:r w:rsidR="003A7A3B" w:rsidRPr="00A06821">
        <w:rPr>
          <w:rFonts w:ascii="Times New Roman" w:hAnsi="Times New Roman" w:cs="Times New Roman"/>
        </w:rPr>
        <w:t>on</w:t>
      </w:r>
      <w:r w:rsidR="000542E9" w:rsidRPr="00A06821">
        <w:rPr>
          <w:rFonts w:ascii="Times New Roman" w:hAnsi="Times New Roman" w:cs="Times New Roman"/>
        </w:rPr>
        <w:t xml:space="preserve"> 16 June 2022, tha</w:t>
      </w:r>
      <w:r w:rsidR="00623068" w:rsidRPr="00A06821">
        <w:rPr>
          <w:rFonts w:ascii="Times New Roman" w:hAnsi="Times New Roman" w:cs="Times New Roman"/>
        </w:rPr>
        <w:t xml:space="preserve">t his right of access to a court </w:t>
      </w:r>
      <w:r w:rsidR="00ED27CE">
        <w:rPr>
          <w:rFonts w:ascii="Times New Roman" w:hAnsi="Times New Roman" w:cs="Times New Roman"/>
        </w:rPr>
        <w:t>had</w:t>
      </w:r>
      <w:r w:rsidR="00623068" w:rsidRPr="00A06821">
        <w:rPr>
          <w:rFonts w:ascii="Times New Roman" w:hAnsi="Times New Roman" w:cs="Times New Roman"/>
        </w:rPr>
        <w:t xml:space="preserve"> been breached, </w:t>
      </w:r>
      <w:r w:rsidR="003A7A3B" w:rsidRPr="00A06821">
        <w:rPr>
          <w:rFonts w:ascii="Times New Roman" w:hAnsi="Times New Roman" w:cs="Times New Roman"/>
        </w:rPr>
        <w:t xml:space="preserve">as well as his freedom of expression. </w:t>
      </w:r>
      <w:r w:rsidR="003162FA" w:rsidRPr="00A06821">
        <w:rPr>
          <w:rFonts w:ascii="Times New Roman" w:hAnsi="Times New Roman" w:cs="Times New Roman"/>
        </w:rPr>
        <w:t xml:space="preserve">For more detailed information, see </w:t>
      </w:r>
      <w:hyperlink r:id="rId5" w:history="1">
        <w:r w:rsidR="003162FA" w:rsidRPr="00A06821">
          <w:rPr>
            <w:rStyle w:val="Hipervnculo"/>
            <w:rFonts w:ascii="Times New Roman" w:hAnsi="Times New Roman" w:cs="Times New Roman"/>
          </w:rPr>
          <w:t>https://advokatnidenik.cz/wp-content/uploads/Judgment-Zurek-v.-Poland-Polish-authorities-attempted-to-silence-well-known-judge.pdf</w:t>
        </w:r>
      </w:hyperlink>
    </w:p>
  </w:footnote>
  <w:footnote w:id="73">
    <w:p w14:paraId="6A67AFC7" w14:textId="77FA3D4A" w:rsidR="00D415FC" w:rsidRPr="00A06821" w:rsidRDefault="00D415F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1F6CD0" w:rsidRPr="00A06821">
        <w:rPr>
          <w:rFonts w:ascii="Times New Roman" w:hAnsi="Times New Roman" w:cs="Times New Roman"/>
        </w:rPr>
        <w:t>Case</w:t>
      </w:r>
      <w:r w:rsidR="00CF6084" w:rsidRPr="00A06821">
        <w:rPr>
          <w:rFonts w:ascii="Times New Roman" w:hAnsi="Times New Roman" w:cs="Times New Roman"/>
        </w:rPr>
        <w:t>s</w:t>
      </w:r>
      <w:r w:rsidR="001F6CD0" w:rsidRPr="00A06821">
        <w:rPr>
          <w:rFonts w:ascii="Times New Roman" w:hAnsi="Times New Roman" w:cs="Times New Roman"/>
        </w:rPr>
        <w:t xml:space="preserve"> </w:t>
      </w:r>
      <w:r w:rsidRPr="00A06821">
        <w:rPr>
          <w:rFonts w:ascii="Times New Roman" w:hAnsi="Times New Roman" w:cs="Times New Roman"/>
        </w:rPr>
        <w:t>C-487/19, p. 102 and</w:t>
      </w:r>
      <w:r w:rsidR="001F6CD0" w:rsidRPr="00A06821">
        <w:rPr>
          <w:rFonts w:ascii="Times New Roman" w:hAnsi="Times New Roman" w:cs="Times New Roman"/>
        </w:rPr>
        <w:t xml:space="preserve"> </w:t>
      </w:r>
      <w:r w:rsidR="00F53C9A" w:rsidRPr="00A06821">
        <w:rPr>
          <w:rFonts w:ascii="Times New Roman" w:hAnsi="Times New Roman" w:cs="Times New Roman"/>
        </w:rPr>
        <w:t xml:space="preserve">C-83/19, C- 127/19, C-195/19, C-291/19, C-355/19 e C-397/19, </w:t>
      </w:r>
      <w:r w:rsidR="00BB76CC" w:rsidRPr="00A06821">
        <w:rPr>
          <w:rFonts w:ascii="Times New Roman" w:hAnsi="Times New Roman" w:cs="Times New Roman"/>
          <w:i/>
          <w:iCs/>
        </w:rPr>
        <w:t>cit.</w:t>
      </w:r>
      <w:r w:rsidR="00F53C9A" w:rsidRPr="00A06821">
        <w:rPr>
          <w:rFonts w:ascii="Times New Roman" w:hAnsi="Times New Roman" w:cs="Times New Roman"/>
        </w:rPr>
        <w:t>, p. 190.</w:t>
      </w:r>
    </w:p>
  </w:footnote>
  <w:footnote w:id="74">
    <w:p w14:paraId="34F04400" w14:textId="390A80D3" w:rsidR="00F53C9A" w:rsidRPr="00A06821" w:rsidRDefault="00F53C9A"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420EDB" w:rsidRPr="00A06821">
        <w:rPr>
          <w:rFonts w:ascii="Times New Roman" w:hAnsi="Times New Roman" w:cs="Times New Roman"/>
        </w:rPr>
        <w:t xml:space="preserve">That provision must, therefore, be taken into consideration </w:t>
      </w:r>
      <w:r w:rsidR="003B7CC4">
        <w:rPr>
          <w:rFonts w:ascii="Times New Roman" w:hAnsi="Times New Roman" w:cs="Times New Roman"/>
        </w:rPr>
        <w:t>to interpret</w:t>
      </w:r>
      <w:r w:rsidR="00420EDB" w:rsidRPr="00A06821">
        <w:rPr>
          <w:rFonts w:ascii="Times New Roman" w:hAnsi="Times New Roman" w:cs="Times New Roman"/>
        </w:rPr>
        <w:t xml:space="preserve"> Article 19</w:t>
      </w:r>
      <w:r w:rsidR="00380597">
        <w:rPr>
          <w:rFonts w:ascii="Times New Roman" w:hAnsi="Times New Roman" w:cs="Times New Roman"/>
        </w:rPr>
        <w:t>(</w:t>
      </w:r>
      <w:r w:rsidR="00420EDB" w:rsidRPr="00A06821">
        <w:rPr>
          <w:rFonts w:ascii="Times New Roman" w:hAnsi="Times New Roman" w:cs="Times New Roman"/>
        </w:rPr>
        <w:t>1</w:t>
      </w:r>
      <w:r w:rsidR="00380597">
        <w:rPr>
          <w:rFonts w:ascii="Times New Roman" w:hAnsi="Times New Roman" w:cs="Times New Roman"/>
        </w:rPr>
        <w:t>)</w:t>
      </w:r>
      <w:r w:rsidR="00420EDB" w:rsidRPr="00A06821">
        <w:rPr>
          <w:rFonts w:ascii="Times New Roman" w:hAnsi="Times New Roman" w:cs="Times New Roman"/>
        </w:rPr>
        <w:t xml:space="preserve"> TEU (C‑896/19, Repubblika, 20 April 2021, p. 45).</w:t>
      </w:r>
      <w:r w:rsidR="0086708E" w:rsidRPr="00A06821">
        <w:rPr>
          <w:rFonts w:ascii="Times New Roman" w:hAnsi="Times New Roman" w:cs="Times New Roman"/>
        </w:rPr>
        <w:t xml:space="preserve"> The second paragraph of Article 47 Charter corresponds to Article 6</w:t>
      </w:r>
      <w:r w:rsidR="002F5AD2">
        <w:rPr>
          <w:rFonts w:ascii="Times New Roman" w:hAnsi="Times New Roman" w:cs="Times New Roman"/>
        </w:rPr>
        <w:t>(</w:t>
      </w:r>
      <w:r w:rsidR="0086708E" w:rsidRPr="00A06821">
        <w:rPr>
          <w:rFonts w:ascii="Times New Roman" w:hAnsi="Times New Roman" w:cs="Times New Roman"/>
        </w:rPr>
        <w:t>1</w:t>
      </w:r>
      <w:r w:rsidR="002F5AD2">
        <w:rPr>
          <w:rFonts w:ascii="Times New Roman" w:hAnsi="Times New Roman" w:cs="Times New Roman"/>
        </w:rPr>
        <w:t>)</w:t>
      </w:r>
      <w:r w:rsidR="0086708E" w:rsidRPr="00A06821">
        <w:rPr>
          <w:rFonts w:ascii="Times New Roman" w:hAnsi="Times New Roman" w:cs="Times New Roman"/>
        </w:rPr>
        <w:t xml:space="preserve"> ECHR</w:t>
      </w:r>
      <w:r w:rsidR="00241E86" w:rsidRPr="00A06821">
        <w:rPr>
          <w:rFonts w:ascii="Times New Roman" w:hAnsi="Times New Roman" w:cs="Times New Roman"/>
        </w:rPr>
        <w:t xml:space="preserve"> (right of access to court)</w:t>
      </w:r>
      <w:r w:rsidR="0086708E" w:rsidRPr="00A06821">
        <w:rPr>
          <w:rFonts w:ascii="Times New Roman" w:hAnsi="Times New Roman" w:cs="Times New Roman"/>
        </w:rPr>
        <w:t xml:space="preserve">. The </w:t>
      </w:r>
      <w:r w:rsidR="00835548" w:rsidRPr="00A06821">
        <w:rPr>
          <w:rFonts w:ascii="Times New Roman" w:hAnsi="Times New Roman" w:cs="Times New Roman"/>
        </w:rPr>
        <w:t>CJEU</w:t>
      </w:r>
      <w:r w:rsidR="0086708E" w:rsidRPr="00A06821">
        <w:rPr>
          <w:rFonts w:ascii="Times New Roman" w:hAnsi="Times New Roman" w:cs="Times New Roman"/>
        </w:rPr>
        <w:t xml:space="preserve"> must, therefore, ensure that its interpretation of the second </w:t>
      </w:r>
      <w:r w:rsidR="0086708E" w:rsidRPr="00211F11">
        <w:rPr>
          <w:rFonts w:ascii="Times New Roman" w:hAnsi="Times New Roman" w:cs="Times New Roman"/>
        </w:rPr>
        <w:t>paragraph</w:t>
      </w:r>
      <w:r w:rsidR="0086708E" w:rsidRPr="00A06821">
        <w:rPr>
          <w:rFonts w:ascii="Times New Roman" w:hAnsi="Times New Roman" w:cs="Times New Roman"/>
        </w:rPr>
        <w:t xml:space="preserve"> of Article 47 Charter safeguards a level of protection which does not fall below the level of protection established in Article 6</w:t>
      </w:r>
      <w:r w:rsidR="002F5AD2">
        <w:rPr>
          <w:rFonts w:ascii="Times New Roman" w:hAnsi="Times New Roman" w:cs="Times New Roman"/>
        </w:rPr>
        <w:t>(</w:t>
      </w:r>
      <w:r w:rsidR="0086708E" w:rsidRPr="00A06821">
        <w:rPr>
          <w:rFonts w:ascii="Times New Roman" w:hAnsi="Times New Roman" w:cs="Times New Roman"/>
        </w:rPr>
        <w:t>1</w:t>
      </w:r>
      <w:r w:rsidR="002F5AD2">
        <w:rPr>
          <w:rFonts w:ascii="Times New Roman" w:hAnsi="Times New Roman" w:cs="Times New Roman"/>
        </w:rPr>
        <w:t>)</w:t>
      </w:r>
      <w:r w:rsidR="0086708E" w:rsidRPr="00A06821">
        <w:rPr>
          <w:rFonts w:ascii="Times New Roman" w:hAnsi="Times New Roman" w:cs="Times New Roman"/>
        </w:rPr>
        <w:t xml:space="preserve"> ECHR, as interpreted by the </w:t>
      </w:r>
      <w:r w:rsidR="002F5AD2">
        <w:rPr>
          <w:rFonts w:ascii="Times New Roman" w:hAnsi="Times New Roman" w:cs="Times New Roman"/>
        </w:rPr>
        <w:t>ECtHR</w:t>
      </w:r>
      <w:r w:rsidR="0086708E" w:rsidRPr="00A06821">
        <w:rPr>
          <w:rFonts w:ascii="Times New Roman" w:hAnsi="Times New Roman" w:cs="Times New Roman"/>
        </w:rPr>
        <w:t xml:space="preserve"> (C‑38/18, Gambino and Hyka, 29 July 2019, p. 39).</w:t>
      </w:r>
    </w:p>
  </w:footnote>
  <w:footnote w:id="75">
    <w:p w14:paraId="53C7FA3C" w14:textId="4B3CF1E4" w:rsidR="00EF0428" w:rsidRPr="00A06821" w:rsidRDefault="00EF0428"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See </w:t>
      </w:r>
      <w:r w:rsidRPr="00A06821">
        <w:rPr>
          <w:rFonts w:ascii="Times New Roman" w:hAnsi="Times New Roman" w:cs="Times New Roman"/>
          <w:i/>
          <w:iCs/>
        </w:rPr>
        <w:t>supra</w:t>
      </w:r>
      <w:r w:rsidRPr="00A06821">
        <w:rPr>
          <w:rFonts w:ascii="Times New Roman" w:hAnsi="Times New Roman" w:cs="Times New Roman"/>
        </w:rPr>
        <w:t xml:space="preserve"> note 58.</w:t>
      </w:r>
    </w:p>
  </w:footnote>
  <w:footnote w:id="76">
    <w:p w14:paraId="0F61A421" w14:textId="62FCE5FB" w:rsidR="002907BA" w:rsidRPr="00A06821" w:rsidRDefault="002907BA" w:rsidP="00987497">
      <w:pPr>
        <w:pStyle w:val="c01pointnumerotealtn"/>
        <w:spacing w:before="0" w:beforeAutospacing="0" w:after="0" w:afterAutospacing="0"/>
        <w:jc w:val="both"/>
        <w:rPr>
          <w:sz w:val="20"/>
          <w:szCs w:val="20"/>
          <w:lang w:val="en-US"/>
        </w:rPr>
      </w:pPr>
      <w:r w:rsidRPr="00A06821">
        <w:rPr>
          <w:rStyle w:val="Refdenotaalpie"/>
          <w:sz w:val="20"/>
          <w:szCs w:val="20"/>
          <w:lang w:val="en-US"/>
        </w:rPr>
        <w:footnoteRef/>
      </w:r>
      <w:r w:rsidRPr="00A06821">
        <w:rPr>
          <w:sz w:val="20"/>
          <w:szCs w:val="20"/>
          <w:lang w:val="en-US"/>
        </w:rPr>
        <w:t xml:space="preserve"> See, to that effect, </w:t>
      </w:r>
      <w:r w:rsidR="00CF6084" w:rsidRPr="00A06821">
        <w:rPr>
          <w:sz w:val="20"/>
          <w:szCs w:val="20"/>
          <w:lang w:val="en-US"/>
        </w:rPr>
        <w:t xml:space="preserve">cases </w:t>
      </w:r>
      <w:r w:rsidRPr="00A06821">
        <w:rPr>
          <w:sz w:val="20"/>
          <w:szCs w:val="20"/>
          <w:lang w:val="en-US"/>
        </w:rPr>
        <w:t>C</w:t>
      </w:r>
      <w:r w:rsidRPr="00A06821">
        <w:rPr>
          <w:sz w:val="20"/>
          <w:szCs w:val="20"/>
          <w:lang w:val="en-US"/>
        </w:rPr>
        <w:noBreakHyphen/>
        <w:t>542/18 RX-II and C</w:t>
      </w:r>
      <w:r w:rsidRPr="00A06821">
        <w:rPr>
          <w:sz w:val="20"/>
          <w:szCs w:val="20"/>
          <w:lang w:val="en-US"/>
        </w:rPr>
        <w:noBreakHyphen/>
        <w:t xml:space="preserve">543/18 RX-II, Review Simpson and HG </w:t>
      </w:r>
      <w:r w:rsidRPr="00A06821">
        <w:rPr>
          <w:i/>
          <w:iCs/>
          <w:sz w:val="20"/>
          <w:szCs w:val="20"/>
          <w:lang w:val="en-US"/>
        </w:rPr>
        <w:t>v.</w:t>
      </w:r>
      <w:r w:rsidRPr="00A06821">
        <w:rPr>
          <w:sz w:val="20"/>
          <w:szCs w:val="20"/>
          <w:lang w:val="en-US"/>
        </w:rPr>
        <w:t xml:space="preserve"> Council and Commission, 26 March 2020, p. 75.</w:t>
      </w:r>
      <w:r w:rsidR="002350E4" w:rsidRPr="00A06821">
        <w:rPr>
          <w:sz w:val="20"/>
          <w:szCs w:val="20"/>
          <w:lang w:val="en-US"/>
        </w:rPr>
        <w:t xml:space="preserve"> In this respect, the </w:t>
      </w:r>
      <w:r w:rsidR="00835548" w:rsidRPr="00A06821">
        <w:rPr>
          <w:sz w:val="20"/>
          <w:szCs w:val="20"/>
          <w:lang w:val="en-US"/>
        </w:rPr>
        <w:t>CJEU</w:t>
      </w:r>
      <w:r w:rsidR="002350E4" w:rsidRPr="00A06821">
        <w:rPr>
          <w:sz w:val="20"/>
          <w:szCs w:val="20"/>
          <w:lang w:val="en-US"/>
        </w:rPr>
        <w:t xml:space="preserve"> decided, in </w:t>
      </w:r>
      <w:r w:rsidR="00CF6084" w:rsidRPr="00A06821">
        <w:rPr>
          <w:sz w:val="20"/>
          <w:szCs w:val="20"/>
          <w:lang w:val="en-US"/>
        </w:rPr>
        <w:t>case</w:t>
      </w:r>
      <w:r w:rsidR="002350E4" w:rsidRPr="00A06821">
        <w:rPr>
          <w:sz w:val="20"/>
          <w:szCs w:val="20"/>
          <w:lang w:val="en-US"/>
        </w:rPr>
        <w:t xml:space="preserve"> C-896/19, </w:t>
      </w:r>
      <w:r w:rsidR="002350E4" w:rsidRPr="00A06821">
        <w:rPr>
          <w:i/>
          <w:iCs/>
          <w:sz w:val="20"/>
          <w:szCs w:val="20"/>
          <w:lang w:val="en-US"/>
        </w:rPr>
        <w:t>cit.</w:t>
      </w:r>
      <w:r w:rsidR="002350E4" w:rsidRPr="00A06821">
        <w:rPr>
          <w:sz w:val="20"/>
          <w:szCs w:val="20"/>
          <w:lang w:val="en-US"/>
        </w:rPr>
        <w:t>, that the second subparagraph of Article 19</w:t>
      </w:r>
      <w:r w:rsidR="00380597">
        <w:rPr>
          <w:sz w:val="20"/>
          <w:szCs w:val="20"/>
          <w:lang w:val="en-US"/>
        </w:rPr>
        <w:t>(</w:t>
      </w:r>
      <w:r w:rsidR="002350E4" w:rsidRPr="00A06821">
        <w:rPr>
          <w:sz w:val="20"/>
          <w:szCs w:val="20"/>
          <w:lang w:val="en-US"/>
        </w:rPr>
        <w:t>1</w:t>
      </w:r>
      <w:r w:rsidR="00380597">
        <w:rPr>
          <w:sz w:val="20"/>
          <w:szCs w:val="20"/>
          <w:lang w:val="en-US"/>
        </w:rPr>
        <w:t>)</w:t>
      </w:r>
      <w:r w:rsidR="002350E4" w:rsidRPr="00A06821">
        <w:rPr>
          <w:sz w:val="20"/>
          <w:szCs w:val="20"/>
          <w:lang w:val="en-US"/>
        </w:rPr>
        <w:t xml:space="preserve"> TEU must be interpreted as not precluding national provisions which confer on the Prime Minister of the Member State concerned a decisive power in the process for appointing members of the judiciary, while providing for the involvement, in that process, of an independent body responsible for, </w:t>
      </w:r>
      <w:r w:rsidR="002350E4" w:rsidRPr="00A06821">
        <w:rPr>
          <w:i/>
          <w:iCs/>
          <w:sz w:val="20"/>
          <w:szCs w:val="20"/>
          <w:lang w:val="en-US"/>
        </w:rPr>
        <w:t>inter alia</w:t>
      </w:r>
      <w:r w:rsidR="002350E4" w:rsidRPr="00A06821">
        <w:rPr>
          <w:sz w:val="20"/>
          <w:szCs w:val="20"/>
          <w:lang w:val="en-US"/>
        </w:rPr>
        <w:t>, assessing candidates for judicial office and giving an opinion to that Prime Minister.</w:t>
      </w:r>
      <w:r w:rsidR="009E6043" w:rsidRPr="00A06821">
        <w:rPr>
          <w:sz w:val="20"/>
          <w:szCs w:val="20"/>
          <w:lang w:val="en-US"/>
        </w:rPr>
        <w:t xml:space="preserve"> </w:t>
      </w:r>
    </w:p>
  </w:footnote>
  <w:footnote w:id="77">
    <w:p w14:paraId="12A4022E" w14:textId="6D612929" w:rsidR="00DD1BC9" w:rsidRPr="00A06821" w:rsidRDefault="00DD1BC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5D069C" w:rsidRPr="00A06821">
        <w:rPr>
          <w:rFonts w:ascii="Times New Roman" w:hAnsi="Times New Roman" w:cs="Times New Roman"/>
        </w:rPr>
        <w:t>Joined c</w:t>
      </w:r>
      <w:r w:rsidR="00CF6084" w:rsidRPr="00A06821">
        <w:rPr>
          <w:rFonts w:ascii="Times New Roman" w:hAnsi="Times New Roman" w:cs="Times New Roman"/>
        </w:rPr>
        <w:t xml:space="preserve">ases </w:t>
      </w:r>
      <w:r w:rsidRPr="00A06821">
        <w:rPr>
          <w:rFonts w:ascii="Times New Roman" w:hAnsi="Times New Roman" w:cs="Times New Roman"/>
        </w:rPr>
        <w:t xml:space="preserve">C‑585/18, C‑624/18 and C‑625/18, </w:t>
      </w:r>
      <w:r w:rsidR="001D1D38" w:rsidRPr="00A06821">
        <w:rPr>
          <w:rFonts w:ascii="Times New Roman" w:hAnsi="Times New Roman" w:cs="Times New Roman"/>
          <w:i/>
          <w:iCs/>
        </w:rPr>
        <w:t>cit.</w:t>
      </w:r>
      <w:r w:rsidRPr="00A06821">
        <w:rPr>
          <w:rFonts w:ascii="Times New Roman" w:hAnsi="Times New Roman" w:cs="Times New Roman"/>
        </w:rPr>
        <w:t>, p. 13</w:t>
      </w:r>
      <w:r w:rsidR="007C6798" w:rsidRPr="00A06821">
        <w:rPr>
          <w:rFonts w:ascii="Times New Roman" w:hAnsi="Times New Roman" w:cs="Times New Roman"/>
        </w:rPr>
        <w:t>3-</w:t>
      </w:r>
      <w:r w:rsidRPr="00A06821">
        <w:rPr>
          <w:rFonts w:ascii="Times New Roman" w:hAnsi="Times New Roman" w:cs="Times New Roman"/>
        </w:rPr>
        <w:t>138; A. B. and Others, p. 12</w:t>
      </w:r>
      <w:r w:rsidR="007C6798" w:rsidRPr="00A06821">
        <w:rPr>
          <w:rFonts w:ascii="Times New Roman" w:hAnsi="Times New Roman" w:cs="Times New Roman"/>
        </w:rPr>
        <w:t>2-</w:t>
      </w:r>
      <w:r w:rsidRPr="00A06821">
        <w:rPr>
          <w:rFonts w:ascii="Times New Roman" w:hAnsi="Times New Roman" w:cs="Times New Roman"/>
        </w:rPr>
        <w:t xml:space="preserve">125; and C‑791/19, </w:t>
      </w:r>
      <w:r w:rsidRPr="00A06821">
        <w:rPr>
          <w:rFonts w:ascii="Times New Roman" w:hAnsi="Times New Roman" w:cs="Times New Roman"/>
          <w:i/>
          <w:iCs/>
        </w:rPr>
        <w:t>cit.</w:t>
      </w:r>
      <w:r w:rsidRPr="00A06821">
        <w:rPr>
          <w:rFonts w:ascii="Times New Roman" w:hAnsi="Times New Roman" w:cs="Times New Roman"/>
        </w:rPr>
        <w:t>, p. 9</w:t>
      </w:r>
      <w:r w:rsidR="007C6798" w:rsidRPr="00A06821">
        <w:rPr>
          <w:rFonts w:ascii="Times New Roman" w:hAnsi="Times New Roman" w:cs="Times New Roman"/>
        </w:rPr>
        <w:t>7-</w:t>
      </w:r>
      <w:r w:rsidRPr="00A06821">
        <w:rPr>
          <w:rFonts w:ascii="Times New Roman" w:hAnsi="Times New Roman" w:cs="Times New Roman"/>
        </w:rPr>
        <w:t>100.</w:t>
      </w:r>
      <w:r w:rsidR="00732891" w:rsidRPr="00A06821">
        <w:rPr>
          <w:rFonts w:ascii="Times New Roman" w:hAnsi="Times New Roman" w:cs="Times New Roman"/>
        </w:rPr>
        <w:t xml:space="preserve"> Already in case C-477/16, the Court of Justice stated that the judiciary must be distinguished, </w:t>
      </w:r>
      <w:r w:rsidR="00ED27CE">
        <w:rPr>
          <w:rFonts w:ascii="Times New Roman" w:hAnsi="Times New Roman" w:cs="Times New Roman"/>
        </w:rPr>
        <w:t>under</w:t>
      </w:r>
      <w:r w:rsidR="00732891" w:rsidRPr="00A06821">
        <w:rPr>
          <w:rFonts w:ascii="Times New Roman" w:hAnsi="Times New Roman" w:cs="Times New Roman"/>
        </w:rPr>
        <w:t xml:space="preserve"> the principle of the separation of powers which characterizes the operation of the </w:t>
      </w:r>
      <w:r w:rsidR="00062F6C">
        <w:rPr>
          <w:rFonts w:ascii="Times New Roman" w:hAnsi="Times New Roman" w:cs="Times New Roman"/>
        </w:rPr>
        <w:t>Rule of Law</w:t>
      </w:r>
      <w:r w:rsidR="00732891" w:rsidRPr="00A06821">
        <w:rPr>
          <w:rFonts w:ascii="Times New Roman" w:hAnsi="Times New Roman" w:cs="Times New Roman"/>
        </w:rPr>
        <w:t>, from the executive (p. 36).</w:t>
      </w:r>
    </w:p>
  </w:footnote>
  <w:footnote w:id="78">
    <w:p w14:paraId="0F5963AA" w14:textId="051D42C2" w:rsidR="00C31A1B" w:rsidRPr="00A06821" w:rsidRDefault="00C31A1B"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COM(2022) 500 final, </w:t>
      </w:r>
      <w:r w:rsidRPr="00A06821">
        <w:rPr>
          <w:rFonts w:ascii="Times New Roman" w:hAnsi="Times New Roman" w:cs="Times New Roman"/>
          <w:i/>
          <w:iCs/>
        </w:rPr>
        <w:t>cit</w:t>
      </w:r>
      <w:r w:rsidRPr="00A06821">
        <w:rPr>
          <w:rFonts w:ascii="Times New Roman" w:hAnsi="Times New Roman" w:cs="Times New Roman"/>
        </w:rPr>
        <w:t>.</w:t>
      </w:r>
    </w:p>
  </w:footnote>
  <w:footnote w:id="79">
    <w:p w14:paraId="05A738D9" w14:textId="4EB30C35" w:rsidR="00743AAF" w:rsidRPr="00A06821" w:rsidRDefault="00743AAF"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CF6084" w:rsidRPr="00A06821">
        <w:rPr>
          <w:rFonts w:ascii="Times New Roman" w:hAnsi="Times New Roman" w:cs="Times New Roman"/>
        </w:rPr>
        <w:t>Case</w:t>
      </w:r>
      <w:r w:rsidR="00C50AFA" w:rsidRPr="00A06821">
        <w:rPr>
          <w:rFonts w:ascii="Times New Roman" w:hAnsi="Times New Roman" w:cs="Times New Roman"/>
        </w:rPr>
        <w:t xml:space="preserve"> </w:t>
      </w:r>
      <w:r w:rsidRPr="00A06821">
        <w:rPr>
          <w:rFonts w:ascii="Times New Roman" w:hAnsi="Times New Roman" w:cs="Times New Roman"/>
        </w:rPr>
        <w:t xml:space="preserve">C- 487/19, </w:t>
      </w:r>
      <w:r w:rsidRPr="00A06821">
        <w:rPr>
          <w:rFonts w:ascii="Times New Roman" w:hAnsi="Times New Roman" w:cs="Times New Roman"/>
          <w:i/>
          <w:iCs/>
        </w:rPr>
        <w:t>cit.</w:t>
      </w:r>
      <w:r w:rsidRPr="00A06821">
        <w:rPr>
          <w:rFonts w:ascii="Times New Roman" w:hAnsi="Times New Roman" w:cs="Times New Roman"/>
        </w:rPr>
        <w:t>, p. 156</w:t>
      </w:r>
      <w:r w:rsidR="00001C19" w:rsidRPr="00A06821">
        <w:rPr>
          <w:rFonts w:ascii="Times New Roman" w:hAnsi="Times New Roman" w:cs="Times New Roman"/>
        </w:rPr>
        <w:t>-157</w:t>
      </w:r>
      <w:r w:rsidRPr="00A06821">
        <w:rPr>
          <w:rFonts w:ascii="Times New Roman" w:hAnsi="Times New Roman" w:cs="Times New Roman"/>
        </w:rPr>
        <w:t xml:space="preserve"> and </w:t>
      </w:r>
      <w:r w:rsidR="00C50AFA" w:rsidRPr="00A06821">
        <w:rPr>
          <w:rFonts w:ascii="Times New Roman" w:hAnsi="Times New Roman" w:cs="Times New Roman"/>
        </w:rPr>
        <w:t xml:space="preserve">joined </w:t>
      </w:r>
      <w:r w:rsidRPr="00A06821">
        <w:rPr>
          <w:rFonts w:ascii="Times New Roman" w:hAnsi="Times New Roman" w:cs="Times New Roman"/>
        </w:rPr>
        <w:t xml:space="preserve">C‑83/19, C‑127/19, C‑195/19, C‑291/19, C‑355/19 and C‑397/19, </w:t>
      </w:r>
      <w:r w:rsidRPr="00A06821">
        <w:rPr>
          <w:rFonts w:ascii="Times New Roman" w:hAnsi="Times New Roman" w:cs="Times New Roman"/>
          <w:i/>
          <w:iCs/>
        </w:rPr>
        <w:t>cit.</w:t>
      </w:r>
      <w:r w:rsidRPr="00A06821">
        <w:rPr>
          <w:rFonts w:ascii="Times New Roman" w:hAnsi="Times New Roman" w:cs="Times New Roman"/>
        </w:rPr>
        <w:t>, p. 244</w:t>
      </w:r>
      <w:r w:rsidR="00001C19" w:rsidRPr="00A06821">
        <w:rPr>
          <w:rFonts w:ascii="Times New Roman" w:hAnsi="Times New Roman" w:cs="Times New Roman"/>
        </w:rPr>
        <w:t>-245</w:t>
      </w:r>
      <w:r w:rsidRPr="00A06821">
        <w:rPr>
          <w:rFonts w:ascii="Times New Roman" w:hAnsi="Times New Roman" w:cs="Times New Roman"/>
        </w:rPr>
        <w:t>.</w:t>
      </w:r>
    </w:p>
  </w:footnote>
  <w:footnote w:id="80">
    <w:p w14:paraId="22985646" w14:textId="1A0A7426" w:rsidR="00001C19" w:rsidRPr="00A06821" w:rsidRDefault="00001C1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C50AFA" w:rsidRPr="00A06821">
        <w:rPr>
          <w:rFonts w:ascii="Times New Roman" w:hAnsi="Times New Roman" w:cs="Times New Roman"/>
        </w:rPr>
        <w:t>Joined c</w:t>
      </w:r>
      <w:r w:rsidR="00CF6084" w:rsidRPr="00A06821">
        <w:rPr>
          <w:rFonts w:ascii="Times New Roman" w:hAnsi="Times New Roman" w:cs="Times New Roman"/>
        </w:rPr>
        <w:t xml:space="preserve">ases </w:t>
      </w:r>
      <w:r w:rsidRPr="00A06821">
        <w:rPr>
          <w:rFonts w:ascii="Times New Roman" w:hAnsi="Times New Roman" w:cs="Times New Roman"/>
        </w:rPr>
        <w:t xml:space="preserve">C-83/19, C 127/19, C 195/19, C 291/19, C 355/19 and </w:t>
      </w:r>
      <w:r w:rsidR="00C50AFA" w:rsidRPr="00A06821">
        <w:rPr>
          <w:rFonts w:ascii="Times New Roman" w:hAnsi="Times New Roman" w:cs="Times New Roman"/>
        </w:rPr>
        <w:t xml:space="preserve">case </w:t>
      </w:r>
      <w:r w:rsidRPr="00A06821">
        <w:rPr>
          <w:rFonts w:ascii="Times New Roman" w:hAnsi="Times New Roman" w:cs="Times New Roman"/>
        </w:rPr>
        <w:t xml:space="preserve">C 397/19, </w:t>
      </w:r>
      <w:r w:rsidRPr="00A06821">
        <w:rPr>
          <w:rFonts w:ascii="Times New Roman" w:hAnsi="Times New Roman" w:cs="Times New Roman"/>
          <w:i/>
          <w:iCs/>
        </w:rPr>
        <w:t>cit.</w:t>
      </w:r>
      <w:r w:rsidRPr="00A06821">
        <w:rPr>
          <w:rFonts w:ascii="Times New Roman" w:hAnsi="Times New Roman" w:cs="Times New Roman"/>
        </w:rPr>
        <w:t>, p. 248.</w:t>
      </w:r>
    </w:p>
  </w:footnote>
  <w:footnote w:id="81">
    <w:p w14:paraId="00ACEFC1" w14:textId="1857C016" w:rsidR="004C55DC" w:rsidRPr="00A06821" w:rsidRDefault="004C55D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The European Commission has assured that </w:t>
      </w:r>
      <w:r w:rsidR="005D4679" w:rsidRPr="00A06821">
        <w:rPr>
          <w:rFonts w:ascii="Times New Roman" w:hAnsi="Times New Roman" w:cs="Times New Roman"/>
        </w:rPr>
        <w:t xml:space="preserve">national Recovery and Resilience Plans include justice reforms and investments in several </w:t>
      </w:r>
      <w:r w:rsidR="00062F6C">
        <w:rPr>
          <w:rFonts w:ascii="Times New Roman" w:hAnsi="Times New Roman" w:cs="Times New Roman"/>
        </w:rPr>
        <w:t>Member States</w:t>
      </w:r>
      <w:r w:rsidR="005D4679" w:rsidRPr="00A06821">
        <w:rPr>
          <w:rFonts w:ascii="Times New Roman" w:hAnsi="Times New Roman" w:cs="Times New Roman"/>
        </w:rPr>
        <w:t>.</w:t>
      </w:r>
    </w:p>
  </w:footnote>
  <w:footnote w:id="82">
    <w:p w14:paraId="51C39C71" w14:textId="18B26726" w:rsidR="001F715E" w:rsidRPr="00A06821" w:rsidRDefault="001F715E"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BÁRD, P., </w:t>
      </w:r>
      <w:r w:rsidRPr="00A06821">
        <w:rPr>
          <w:rFonts w:ascii="Times New Roman" w:hAnsi="Times New Roman" w:cs="Times New Roman"/>
          <w:i/>
          <w:iCs/>
        </w:rPr>
        <w:t>cit.</w:t>
      </w:r>
    </w:p>
  </w:footnote>
  <w:footnote w:id="83">
    <w:p w14:paraId="30917206" w14:textId="73CCAED2" w:rsidR="006B1F8E" w:rsidRPr="00A06821" w:rsidRDefault="006B1F8E"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BÁRD, P. and PECH, L. </w:t>
      </w:r>
      <w:r w:rsidRPr="00A06821">
        <w:rPr>
          <w:rFonts w:ascii="Times New Roman" w:hAnsi="Times New Roman" w:cs="Times New Roman"/>
          <w:i/>
          <w:iCs/>
        </w:rPr>
        <w:t xml:space="preserve">How to build and Consolidate a </w:t>
      </w:r>
      <w:r w:rsidR="006C1E41" w:rsidRPr="00A06821">
        <w:rPr>
          <w:rFonts w:ascii="Times New Roman" w:hAnsi="Times New Roman" w:cs="Times New Roman"/>
          <w:i/>
          <w:iCs/>
        </w:rPr>
        <w:t>P</w:t>
      </w:r>
      <w:r w:rsidRPr="00A06821">
        <w:rPr>
          <w:rFonts w:ascii="Times New Roman" w:hAnsi="Times New Roman" w:cs="Times New Roman"/>
          <w:i/>
          <w:iCs/>
        </w:rPr>
        <w:t>arty Free Pseudo Democracy</w:t>
      </w:r>
      <w:r w:rsidR="006C1E41" w:rsidRPr="00A06821">
        <w:rPr>
          <w:rFonts w:ascii="Times New Roman" w:hAnsi="Times New Roman" w:cs="Times New Roman"/>
          <w:i/>
          <w:iCs/>
        </w:rPr>
        <w:t xml:space="preserve"> by Constitutional Means in Three Steps: The “Hungarian Model</w:t>
      </w:r>
      <w:r w:rsidR="004E6C8E" w:rsidRPr="00A06821">
        <w:rPr>
          <w:rFonts w:ascii="Times New Roman" w:hAnsi="Times New Roman" w:cs="Times New Roman"/>
          <w:i/>
          <w:iCs/>
        </w:rPr>
        <w:t>,”</w:t>
      </w:r>
      <w:r w:rsidR="006C1E41" w:rsidRPr="00A06821">
        <w:rPr>
          <w:rFonts w:ascii="Times New Roman" w:hAnsi="Times New Roman" w:cs="Times New Roman"/>
        </w:rPr>
        <w:t xml:space="preserve"> Reconnect Working Paper, 1, 2019.</w:t>
      </w:r>
    </w:p>
  </w:footnote>
  <w:footnote w:id="84">
    <w:p w14:paraId="2BE2B8AE" w14:textId="7B817B3B" w:rsidR="006E6173" w:rsidRPr="00A06821" w:rsidRDefault="006E6173"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7F2B70" w:rsidRPr="00A06821">
        <w:rPr>
          <w:rFonts w:ascii="Times New Roman" w:hAnsi="Times New Roman" w:cs="Times New Roman"/>
        </w:rPr>
        <w:t>SZENTE</w:t>
      </w:r>
      <w:r w:rsidRPr="00A06821">
        <w:rPr>
          <w:rFonts w:ascii="Times New Roman" w:hAnsi="Times New Roman" w:cs="Times New Roman"/>
        </w:rPr>
        <w:t xml:space="preserve">, </w:t>
      </w:r>
      <w:r w:rsidRPr="00A06821">
        <w:rPr>
          <w:rFonts w:ascii="Times New Roman" w:hAnsi="Times New Roman" w:cs="Times New Roman"/>
          <w:i/>
          <w:iCs/>
        </w:rPr>
        <w:t>et al</w:t>
      </w:r>
      <w:r w:rsidRPr="00A06821">
        <w:rPr>
          <w:rFonts w:ascii="Times New Roman" w:hAnsi="Times New Roman" w:cs="Times New Roman"/>
        </w:rPr>
        <w:t>.,</w:t>
      </w:r>
      <w:r w:rsidR="00EF4109" w:rsidRPr="00A06821">
        <w:rPr>
          <w:rFonts w:ascii="Times New Roman" w:hAnsi="Times New Roman" w:cs="Times New Roman"/>
        </w:rPr>
        <w:t xml:space="preserve"> «The Decline of Constitutional Review in Hungary – Towards a Partisan Constitutional Court», </w:t>
      </w:r>
      <w:r w:rsidR="00EF4109" w:rsidRPr="00A06821">
        <w:rPr>
          <w:rFonts w:ascii="Times New Roman" w:hAnsi="Times New Roman" w:cs="Times New Roman"/>
          <w:i/>
          <w:iCs/>
        </w:rPr>
        <w:t>Challenges and Pitfalls in Recent Hungarian Constitutional Development: Discussing the New Fundamental Law of Hunga</w:t>
      </w:r>
      <w:r w:rsidR="00EF4109" w:rsidRPr="00A06821">
        <w:rPr>
          <w:rFonts w:ascii="Times New Roman" w:hAnsi="Times New Roman" w:cs="Times New Roman"/>
        </w:rPr>
        <w:t xml:space="preserve">ry, </w:t>
      </w:r>
      <w:r w:rsidR="00761704" w:rsidRPr="00A06821">
        <w:rPr>
          <w:rFonts w:ascii="Times New Roman" w:hAnsi="Times New Roman" w:cs="Times New Roman"/>
        </w:rPr>
        <w:t>L’</w:t>
      </w:r>
      <w:r w:rsidR="00EF4109" w:rsidRPr="00A06821">
        <w:rPr>
          <w:rFonts w:ascii="Times New Roman" w:hAnsi="Times New Roman" w:cs="Times New Roman"/>
        </w:rPr>
        <w:t>Harmattan, Paris, 2015</w:t>
      </w:r>
      <w:r w:rsidR="00761704" w:rsidRPr="00A06821">
        <w:rPr>
          <w:rFonts w:ascii="Times New Roman" w:hAnsi="Times New Roman" w:cs="Times New Roman"/>
        </w:rPr>
        <w:t>, pp. 183-208</w:t>
      </w:r>
      <w:r w:rsidR="00EF4109" w:rsidRPr="00A06821">
        <w:rPr>
          <w:rFonts w:ascii="Times New Roman" w:hAnsi="Times New Roman" w:cs="Times New Roman"/>
        </w:rPr>
        <w:t>.</w:t>
      </w:r>
    </w:p>
  </w:footnote>
  <w:footnote w:id="85">
    <w:p w14:paraId="4075C99B" w14:textId="51DB51A2" w:rsidR="00176CC5" w:rsidRPr="00A06821" w:rsidRDefault="00176CC5"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This Constitution featured strongly partisan, nationalistic</w:t>
      </w:r>
      <w:r w:rsidR="00ED27CE">
        <w:rPr>
          <w:rFonts w:ascii="Times New Roman" w:hAnsi="Times New Roman" w:cs="Times New Roman"/>
        </w:rPr>
        <w:t>,</w:t>
      </w:r>
      <w:r w:rsidRPr="00A06821">
        <w:rPr>
          <w:rFonts w:ascii="Times New Roman" w:hAnsi="Times New Roman" w:cs="Times New Roman"/>
        </w:rPr>
        <w:t xml:space="preserve"> and religious rhetoric in addition to giving distinct advantages to Fidesz in future elections. FREEBERG, J., </w:t>
      </w:r>
      <w:r w:rsidRPr="00A06821">
        <w:rPr>
          <w:rFonts w:ascii="Times New Roman" w:hAnsi="Times New Roman" w:cs="Times New Roman"/>
          <w:i/>
          <w:iCs/>
        </w:rPr>
        <w:t>cit</w:t>
      </w:r>
      <w:r w:rsidRPr="00A06821">
        <w:rPr>
          <w:rFonts w:ascii="Times New Roman" w:hAnsi="Times New Roman" w:cs="Times New Roman"/>
        </w:rPr>
        <w:t xml:space="preserve">. BOZÓKI, A. «Occupy the State. The Orbán Regime in Hungary», </w:t>
      </w:r>
      <w:r w:rsidRPr="00A06821">
        <w:rPr>
          <w:rFonts w:ascii="Times New Roman" w:hAnsi="Times New Roman" w:cs="Times New Roman"/>
          <w:i/>
          <w:iCs/>
        </w:rPr>
        <w:t>Debatte: Journal of Contemporary</w:t>
      </w:r>
      <w:r w:rsidR="00EF4109" w:rsidRPr="00A06821">
        <w:rPr>
          <w:rFonts w:ascii="Times New Roman" w:hAnsi="Times New Roman" w:cs="Times New Roman"/>
          <w:i/>
          <w:iCs/>
        </w:rPr>
        <w:t xml:space="preserve"> Central and Eastern Europe</w:t>
      </w:r>
      <w:r w:rsidR="00EF4109" w:rsidRPr="00A06821">
        <w:rPr>
          <w:rFonts w:ascii="Times New Roman" w:hAnsi="Times New Roman" w:cs="Times New Roman"/>
        </w:rPr>
        <w:t xml:space="preserve">, vol. 19, </w:t>
      </w:r>
      <w:r w:rsidR="00761704" w:rsidRPr="00A06821">
        <w:rPr>
          <w:rFonts w:ascii="Times New Roman" w:hAnsi="Times New Roman" w:cs="Times New Roman"/>
        </w:rPr>
        <w:t>issue</w:t>
      </w:r>
      <w:r w:rsidR="00EF4109" w:rsidRPr="00A06821">
        <w:rPr>
          <w:rFonts w:ascii="Times New Roman" w:hAnsi="Times New Roman" w:cs="Times New Roman"/>
        </w:rPr>
        <w:t xml:space="preserve"> 3, 2011, pp. 649-663.</w:t>
      </w:r>
    </w:p>
  </w:footnote>
  <w:footnote w:id="86">
    <w:p w14:paraId="31E3AF91" w14:textId="3D250FC8" w:rsidR="00A36F9C" w:rsidRPr="00A06821" w:rsidRDefault="00A36F9C"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For instance, the power of judicial review of </w:t>
      </w:r>
      <w:r w:rsidR="00091DD9" w:rsidRPr="00A06821">
        <w:rPr>
          <w:rFonts w:ascii="Times New Roman" w:hAnsi="Times New Roman" w:cs="Times New Roman"/>
        </w:rPr>
        <w:t>financial</w:t>
      </w:r>
      <w:r w:rsidRPr="00A06821">
        <w:rPr>
          <w:rFonts w:ascii="Times New Roman" w:hAnsi="Times New Roman" w:cs="Times New Roman"/>
        </w:rPr>
        <w:t xml:space="preserve"> laws was removed from </w:t>
      </w:r>
      <w:r w:rsidR="00ED27CE">
        <w:rPr>
          <w:rFonts w:ascii="Times New Roman" w:hAnsi="Times New Roman" w:cs="Times New Roman"/>
        </w:rPr>
        <w:t xml:space="preserve">the </w:t>
      </w:r>
      <w:r w:rsidRPr="00A06821">
        <w:rPr>
          <w:rFonts w:ascii="Times New Roman" w:hAnsi="Times New Roman" w:cs="Times New Roman"/>
        </w:rPr>
        <w:t>Constitutional Court. HALMAI, G., «Dismantling Constitutional Review in Hungary», Rivista di Diritti Comparati, no. 1, 2019, pp. 31-47.</w:t>
      </w:r>
    </w:p>
  </w:footnote>
  <w:footnote w:id="87">
    <w:p w14:paraId="4C3DC014" w14:textId="669D7C43" w:rsidR="006164EB" w:rsidRPr="00A06821" w:rsidRDefault="006164EB" w:rsidP="00987497">
      <w:pPr>
        <w:pStyle w:val="Textonotapie"/>
        <w:jc w:val="both"/>
        <w:rPr>
          <w:rFonts w:ascii="Times New Roman" w:hAnsi="Times New Roman" w:cs="Times New Roman"/>
          <w:lang w:val="es-ES"/>
        </w:rPr>
      </w:pPr>
      <w:r w:rsidRPr="00A06821">
        <w:rPr>
          <w:rStyle w:val="Refdenotaalpie"/>
          <w:rFonts w:ascii="Times New Roman" w:hAnsi="Times New Roman" w:cs="Times New Roman"/>
        </w:rPr>
        <w:footnoteRef/>
      </w:r>
      <w:r w:rsidRPr="00A06821">
        <w:rPr>
          <w:rFonts w:ascii="Times New Roman" w:hAnsi="Times New Roman" w:cs="Times New Roman"/>
          <w:lang w:val="es-ES"/>
        </w:rPr>
        <w:t xml:space="preserve"> SZENTE, </w:t>
      </w:r>
      <w:r w:rsidRPr="00A06821">
        <w:rPr>
          <w:rFonts w:ascii="Times New Roman" w:hAnsi="Times New Roman" w:cs="Times New Roman"/>
          <w:i/>
          <w:iCs/>
          <w:lang w:val="es-ES"/>
        </w:rPr>
        <w:t>et al</w:t>
      </w:r>
      <w:r w:rsidRPr="00A06821">
        <w:rPr>
          <w:rFonts w:ascii="Times New Roman" w:hAnsi="Times New Roman" w:cs="Times New Roman"/>
          <w:lang w:val="es-ES"/>
        </w:rPr>
        <w:t>.</w:t>
      </w:r>
      <w:r w:rsidR="0062589A" w:rsidRPr="00A06821">
        <w:rPr>
          <w:rFonts w:ascii="Times New Roman" w:hAnsi="Times New Roman" w:cs="Times New Roman"/>
          <w:lang w:val="es-ES"/>
        </w:rPr>
        <w:t xml:space="preserve">, </w:t>
      </w:r>
      <w:r w:rsidR="0062589A" w:rsidRPr="00A06821">
        <w:rPr>
          <w:rFonts w:ascii="Times New Roman" w:hAnsi="Times New Roman" w:cs="Times New Roman"/>
          <w:i/>
          <w:iCs/>
          <w:lang w:val="es-ES"/>
        </w:rPr>
        <w:t>cit</w:t>
      </w:r>
      <w:r w:rsidR="0062589A" w:rsidRPr="00A06821">
        <w:rPr>
          <w:rFonts w:ascii="Times New Roman" w:hAnsi="Times New Roman" w:cs="Times New Roman"/>
          <w:lang w:val="es-ES"/>
        </w:rPr>
        <w:t>.</w:t>
      </w:r>
    </w:p>
  </w:footnote>
  <w:footnote w:id="88">
    <w:p w14:paraId="65483763" w14:textId="1502D1D6" w:rsidR="00A87F59" w:rsidRPr="00A06821" w:rsidRDefault="00A87F59" w:rsidP="00987497">
      <w:pPr>
        <w:pStyle w:val="Textonotapie"/>
        <w:jc w:val="both"/>
        <w:rPr>
          <w:rFonts w:ascii="Times New Roman" w:hAnsi="Times New Roman" w:cs="Times New Roman"/>
          <w:lang w:val="es-ES"/>
        </w:rPr>
      </w:pPr>
      <w:r w:rsidRPr="00A06821">
        <w:rPr>
          <w:rStyle w:val="Refdenotaalpie"/>
          <w:rFonts w:ascii="Times New Roman" w:hAnsi="Times New Roman" w:cs="Times New Roman"/>
        </w:rPr>
        <w:footnoteRef/>
      </w:r>
      <w:r w:rsidRPr="00A06821">
        <w:rPr>
          <w:rFonts w:ascii="Times New Roman" w:hAnsi="Times New Roman" w:cs="Times New Roman"/>
          <w:lang w:val="es-ES"/>
        </w:rPr>
        <w:t xml:space="preserve"> </w:t>
      </w:r>
      <w:r w:rsidR="00B73D09" w:rsidRPr="00A06821">
        <w:rPr>
          <w:rFonts w:ascii="Times New Roman" w:hAnsi="Times New Roman" w:cs="Times New Roman"/>
          <w:lang w:val="es-ES"/>
        </w:rPr>
        <w:t>MOLITERNO</w:t>
      </w:r>
      <w:r w:rsidRPr="00A06821">
        <w:rPr>
          <w:rFonts w:ascii="Times New Roman" w:hAnsi="Times New Roman" w:cs="Times New Roman"/>
          <w:lang w:val="es-ES"/>
        </w:rPr>
        <w:t xml:space="preserve">, J. and </w:t>
      </w:r>
      <w:r w:rsidR="00B73D09" w:rsidRPr="00A06821">
        <w:rPr>
          <w:rFonts w:ascii="Times New Roman" w:hAnsi="Times New Roman" w:cs="Times New Roman"/>
          <w:lang w:val="es-ES"/>
        </w:rPr>
        <w:t>CUROS</w:t>
      </w:r>
      <w:r w:rsidRPr="00A06821">
        <w:rPr>
          <w:rFonts w:ascii="Times New Roman" w:hAnsi="Times New Roman" w:cs="Times New Roman"/>
          <w:lang w:val="es-ES"/>
        </w:rPr>
        <w:t xml:space="preserve">, P., </w:t>
      </w:r>
      <w:r w:rsidRPr="00A06821">
        <w:rPr>
          <w:rFonts w:ascii="Times New Roman" w:hAnsi="Times New Roman" w:cs="Times New Roman"/>
          <w:i/>
          <w:iCs/>
          <w:lang w:val="es-ES"/>
        </w:rPr>
        <w:t>cit</w:t>
      </w:r>
      <w:r w:rsidRPr="00A06821">
        <w:rPr>
          <w:rFonts w:ascii="Times New Roman" w:hAnsi="Times New Roman" w:cs="Times New Roman"/>
          <w:lang w:val="es-ES"/>
        </w:rPr>
        <w:t>.</w:t>
      </w:r>
    </w:p>
  </w:footnote>
  <w:footnote w:id="89">
    <w:p w14:paraId="30E6494C" w14:textId="786CE66B" w:rsidR="00673340" w:rsidRPr="00A06821" w:rsidRDefault="00673340"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Case C-286/12, Commission </w:t>
      </w:r>
      <w:r w:rsidRPr="00A06821">
        <w:rPr>
          <w:rFonts w:ascii="Times New Roman" w:hAnsi="Times New Roman" w:cs="Times New Roman"/>
          <w:i/>
          <w:iCs/>
        </w:rPr>
        <w:t>v.</w:t>
      </w:r>
      <w:r w:rsidRPr="00A06821">
        <w:rPr>
          <w:rFonts w:ascii="Times New Roman" w:hAnsi="Times New Roman" w:cs="Times New Roman"/>
        </w:rPr>
        <w:t xml:space="preserve"> Hungary, 6 November 2012.</w:t>
      </w:r>
      <w:r w:rsidR="00D31AF1" w:rsidRPr="00A06821">
        <w:rPr>
          <w:rFonts w:ascii="Times New Roman" w:hAnsi="Times New Roman" w:cs="Times New Roman"/>
        </w:rPr>
        <w:t xml:space="preserve"> The CJEU declared that adopting a national scheme requiring compulsory retirement of judges, prosecutors</w:t>
      </w:r>
      <w:r w:rsidR="00ED27CE">
        <w:rPr>
          <w:rFonts w:ascii="Times New Roman" w:hAnsi="Times New Roman" w:cs="Times New Roman"/>
        </w:rPr>
        <w:t>,</w:t>
      </w:r>
      <w:r w:rsidR="00D31AF1" w:rsidRPr="00A06821">
        <w:rPr>
          <w:rFonts w:ascii="Times New Roman" w:hAnsi="Times New Roman" w:cs="Times New Roman"/>
        </w:rPr>
        <w:t xml:space="preserve"> and notaries at the age of 62</w:t>
      </w:r>
      <w:r w:rsidR="00ED27CE">
        <w:rPr>
          <w:rFonts w:ascii="Times New Roman" w:hAnsi="Times New Roman" w:cs="Times New Roman"/>
        </w:rPr>
        <w:t>,</w:t>
      </w:r>
      <w:r w:rsidR="00D31AF1" w:rsidRPr="00A06821">
        <w:rPr>
          <w:rFonts w:ascii="Times New Roman" w:hAnsi="Times New Roman" w:cs="Times New Roman"/>
        </w:rPr>
        <w:t xml:space="preserve"> which gives rise to a difference in treatment on grounds of age, is not proportionate as regards the objectives </w:t>
      </w:r>
      <w:r w:rsidR="00ED27CE">
        <w:rPr>
          <w:rFonts w:ascii="Times New Roman" w:hAnsi="Times New Roman" w:cs="Times New Roman"/>
        </w:rPr>
        <w:t>pursued</w:t>
      </w:r>
      <w:r w:rsidR="00D31AF1" w:rsidRPr="00A06821">
        <w:rPr>
          <w:rFonts w:ascii="Times New Roman" w:hAnsi="Times New Roman" w:cs="Times New Roman"/>
        </w:rPr>
        <w:t>.</w:t>
      </w:r>
    </w:p>
  </w:footnote>
  <w:footnote w:id="90">
    <w:p w14:paraId="79A91B6D" w14:textId="77777777" w:rsidR="00AA6015" w:rsidRPr="00AA6015" w:rsidRDefault="00AA6015" w:rsidP="00AA6015">
      <w:pPr>
        <w:pStyle w:val="Textonotapie"/>
        <w:jc w:val="both"/>
        <w:rPr>
          <w:rFonts w:ascii="Times New Roman" w:hAnsi="Times New Roman" w:cs="Times New Roman"/>
          <w:lang w:val="pt-PT"/>
        </w:rPr>
      </w:pPr>
      <w:r w:rsidRPr="00A06821">
        <w:rPr>
          <w:rStyle w:val="Refdenotaalpie"/>
          <w:rFonts w:ascii="Times New Roman" w:hAnsi="Times New Roman" w:cs="Times New Roman"/>
        </w:rPr>
        <w:footnoteRef/>
      </w:r>
      <w:r w:rsidRPr="00A06821">
        <w:rPr>
          <w:rFonts w:ascii="Times New Roman" w:hAnsi="Times New Roman" w:cs="Times New Roman"/>
        </w:rPr>
        <w:t xml:space="preserve"> Baka v. Hungary, app. no. 20261/12, 23 June 2016. </w:t>
      </w:r>
      <w:r w:rsidRPr="00AA6015">
        <w:rPr>
          <w:rFonts w:ascii="Times New Roman" w:hAnsi="Times New Roman" w:cs="Times New Roman"/>
          <w:i/>
          <w:iCs/>
          <w:lang w:val="pt-PT"/>
        </w:rPr>
        <w:t>Ib</w:t>
      </w:r>
      <w:r w:rsidRPr="00AA6015">
        <w:rPr>
          <w:rFonts w:ascii="Times New Roman" w:hAnsi="Times New Roman" w:cs="Times New Roman"/>
          <w:lang w:val="pt-PT"/>
        </w:rPr>
        <w:t>.</w:t>
      </w:r>
    </w:p>
  </w:footnote>
  <w:footnote w:id="91">
    <w:p w14:paraId="51A1E0D5" w14:textId="61D1A9BA" w:rsidR="00786D4B" w:rsidRPr="00AA6015" w:rsidRDefault="00786D4B" w:rsidP="00987497">
      <w:pPr>
        <w:pStyle w:val="Textonotapie"/>
        <w:jc w:val="both"/>
        <w:rPr>
          <w:rFonts w:ascii="Times New Roman" w:hAnsi="Times New Roman" w:cs="Times New Roman"/>
          <w:lang w:val="pt-PT"/>
        </w:rPr>
      </w:pPr>
      <w:r w:rsidRPr="00A06821">
        <w:rPr>
          <w:rStyle w:val="Refdenotaalpie"/>
          <w:rFonts w:ascii="Times New Roman" w:hAnsi="Times New Roman" w:cs="Times New Roman"/>
        </w:rPr>
        <w:footnoteRef/>
      </w:r>
      <w:r w:rsidRPr="00AA6015">
        <w:rPr>
          <w:rFonts w:ascii="Times New Roman" w:hAnsi="Times New Roman" w:cs="Times New Roman"/>
          <w:lang w:val="pt-PT"/>
        </w:rPr>
        <w:t xml:space="preserve"> </w:t>
      </w:r>
      <w:r w:rsidR="00982C78" w:rsidRPr="00AA6015">
        <w:rPr>
          <w:rFonts w:ascii="Times New Roman" w:hAnsi="Times New Roman" w:cs="Times New Roman"/>
          <w:i/>
          <w:iCs/>
          <w:lang w:val="pt-PT"/>
        </w:rPr>
        <w:t>Ib</w:t>
      </w:r>
      <w:r w:rsidR="00982C78" w:rsidRPr="00AA6015">
        <w:rPr>
          <w:rFonts w:ascii="Times New Roman" w:hAnsi="Times New Roman" w:cs="Times New Roman"/>
          <w:lang w:val="pt-PT"/>
        </w:rPr>
        <w:t xml:space="preserve">. </w:t>
      </w:r>
      <w:r w:rsidRPr="00AA6015">
        <w:rPr>
          <w:rFonts w:ascii="Times New Roman" w:hAnsi="Times New Roman" w:cs="Times New Roman"/>
          <w:lang w:val="pt-PT"/>
        </w:rPr>
        <w:t xml:space="preserve">COM(2019) 163 final, </w:t>
      </w:r>
      <w:r w:rsidRPr="00AA6015">
        <w:rPr>
          <w:rFonts w:ascii="Times New Roman" w:hAnsi="Times New Roman" w:cs="Times New Roman"/>
          <w:i/>
          <w:iCs/>
          <w:lang w:val="pt-PT"/>
        </w:rPr>
        <w:t>cit</w:t>
      </w:r>
      <w:r w:rsidRPr="00AA6015">
        <w:rPr>
          <w:rFonts w:ascii="Times New Roman" w:hAnsi="Times New Roman" w:cs="Times New Roman"/>
          <w:lang w:val="pt-PT"/>
        </w:rPr>
        <w:t>.</w:t>
      </w:r>
    </w:p>
  </w:footnote>
  <w:footnote w:id="92">
    <w:p w14:paraId="08F821D3" w14:textId="48984996" w:rsidR="00BE04F0" w:rsidRPr="00A06821" w:rsidRDefault="00BE04F0"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Case</w:t>
      </w:r>
      <w:r w:rsidR="004B6137" w:rsidRPr="00A06821">
        <w:rPr>
          <w:rFonts w:ascii="Times New Roman" w:hAnsi="Times New Roman" w:cs="Times New Roman"/>
        </w:rPr>
        <w:t>s</w:t>
      </w:r>
      <w:r w:rsidRPr="00A06821">
        <w:rPr>
          <w:rFonts w:ascii="Times New Roman" w:hAnsi="Times New Roman" w:cs="Times New Roman"/>
        </w:rPr>
        <w:t xml:space="preserve"> C-824/18, </w:t>
      </w:r>
      <w:r w:rsidR="00252F76" w:rsidRPr="00A06821">
        <w:rPr>
          <w:rFonts w:ascii="Times New Roman" w:hAnsi="Times New Roman" w:cs="Times New Roman"/>
          <w:i/>
          <w:iCs/>
        </w:rPr>
        <w:t>cit.</w:t>
      </w:r>
      <w:r w:rsidR="00252F76" w:rsidRPr="00A06821">
        <w:rPr>
          <w:rFonts w:ascii="Times New Roman" w:hAnsi="Times New Roman" w:cs="Times New Roman"/>
        </w:rPr>
        <w:t xml:space="preserve">, </w:t>
      </w:r>
      <w:r w:rsidRPr="00A06821">
        <w:rPr>
          <w:rFonts w:ascii="Times New Roman" w:hAnsi="Times New Roman" w:cs="Times New Roman"/>
        </w:rPr>
        <w:t>p. 123-12</w:t>
      </w:r>
      <w:r w:rsidR="00252F76" w:rsidRPr="00A06821">
        <w:rPr>
          <w:rFonts w:ascii="Times New Roman" w:hAnsi="Times New Roman" w:cs="Times New Roman"/>
        </w:rPr>
        <w:t>5</w:t>
      </w:r>
      <w:r w:rsidR="004B6137" w:rsidRPr="00A06821">
        <w:rPr>
          <w:rFonts w:ascii="Times New Roman" w:hAnsi="Times New Roman" w:cs="Times New Roman"/>
        </w:rPr>
        <w:t xml:space="preserve">, C-791/19, </w:t>
      </w:r>
      <w:r w:rsidR="004B6137" w:rsidRPr="00A06821">
        <w:rPr>
          <w:rFonts w:ascii="Times New Roman" w:hAnsi="Times New Roman" w:cs="Times New Roman"/>
          <w:i/>
          <w:iCs/>
        </w:rPr>
        <w:t>cit.</w:t>
      </w:r>
      <w:r w:rsidR="004B6137" w:rsidRPr="00A06821">
        <w:rPr>
          <w:rFonts w:ascii="Times New Roman" w:hAnsi="Times New Roman" w:cs="Times New Roman"/>
        </w:rPr>
        <w:t xml:space="preserve">, p. 98-108, C-896/19, </w:t>
      </w:r>
      <w:r w:rsidR="004B6137" w:rsidRPr="00A06821">
        <w:rPr>
          <w:rFonts w:ascii="Times New Roman" w:hAnsi="Times New Roman" w:cs="Times New Roman"/>
          <w:i/>
          <w:iCs/>
        </w:rPr>
        <w:t>cit.</w:t>
      </w:r>
      <w:r w:rsidR="004B6137" w:rsidRPr="00A06821">
        <w:rPr>
          <w:rFonts w:ascii="Times New Roman" w:hAnsi="Times New Roman" w:cs="Times New Roman"/>
        </w:rPr>
        <w:t xml:space="preserve">, p. 66, C-824/18, </w:t>
      </w:r>
      <w:r w:rsidR="004B6137" w:rsidRPr="00A06821">
        <w:rPr>
          <w:rFonts w:ascii="Times New Roman" w:hAnsi="Times New Roman" w:cs="Times New Roman"/>
          <w:i/>
          <w:iCs/>
        </w:rPr>
        <w:t>cit.</w:t>
      </w:r>
      <w:r w:rsidR="004B6137" w:rsidRPr="00A06821">
        <w:rPr>
          <w:rFonts w:ascii="Times New Roman" w:hAnsi="Times New Roman" w:cs="Times New Roman"/>
        </w:rPr>
        <w:t>, p. 66</w:t>
      </w:r>
      <w:r w:rsidR="005D069C" w:rsidRPr="00A06821">
        <w:rPr>
          <w:rFonts w:ascii="Times New Roman" w:hAnsi="Times New Roman" w:cs="Times New Roman"/>
        </w:rPr>
        <w:t xml:space="preserve"> and</w:t>
      </w:r>
      <w:r w:rsidR="004B6137" w:rsidRPr="00A06821">
        <w:rPr>
          <w:rFonts w:ascii="Times New Roman" w:hAnsi="Times New Roman" w:cs="Times New Roman"/>
        </w:rPr>
        <w:t xml:space="preserve"> 124 -125, and joined cases C-585/18, C- 624/18 and C-625/18, </w:t>
      </w:r>
      <w:r w:rsidR="005D069C" w:rsidRPr="00A06821">
        <w:rPr>
          <w:rFonts w:ascii="Times New Roman" w:hAnsi="Times New Roman" w:cs="Times New Roman"/>
          <w:i/>
          <w:iCs/>
        </w:rPr>
        <w:t>cit.</w:t>
      </w:r>
      <w:r w:rsidR="005D069C" w:rsidRPr="00A06821">
        <w:rPr>
          <w:rFonts w:ascii="Times New Roman" w:hAnsi="Times New Roman" w:cs="Times New Roman"/>
        </w:rPr>
        <w:t xml:space="preserve">, </w:t>
      </w:r>
      <w:r w:rsidR="004B6137" w:rsidRPr="00A06821">
        <w:rPr>
          <w:rFonts w:ascii="Times New Roman" w:hAnsi="Times New Roman" w:cs="Times New Roman"/>
        </w:rPr>
        <w:t>p. 137-138.</w:t>
      </w:r>
    </w:p>
  </w:footnote>
  <w:footnote w:id="93">
    <w:p w14:paraId="764C188F" w14:textId="5946AA01" w:rsidR="00573E6D" w:rsidRPr="004F1563" w:rsidRDefault="00573E6D" w:rsidP="00494137">
      <w:pPr>
        <w:pStyle w:val="Textonotapie"/>
        <w:jc w:val="both"/>
        <w:rPr>
          <w:rFonts w:ascii="Times New Roman" w:hAnsi="Times New Roman" w:cs="Times New Roman"/>
        </w:rPr>
      </w:pPr>
      <w:r w:rsidRPr="00494137">
        <w:rPr>
          <w:rStyle w:val="Refdenotaalpie"/>
          <w:rFonts w:ascii="Times New Roman" w:hAnsi="Times New Roman" w:cs="Times New Roman"/>
        </w:rPr>
        <w:footnoteRef/>
      </w:r>
      <w:r w:rsidRPr="004F1563">
        <w:rPr>
          <w:rFonts w:ascii="Times New Roman" w:hAnsi="Times New Roman" w:cs="Times New Roman"/>
        </w:rPr>
        <w:t xml:space="preserve"> COM(2022) 500 final, </w:t>
      </w:r>
      <w:r w:rsidRPr="004F1563">
        <w:rPr>
          <w:rFonts w:ascii="Times New Roman" w:hAnsi="Times New Roman" w:cs="Times New Roman"/>
          <w:i/>
          <w:iCs/>
        </w:rPr>
        <w:t>cit</w:t>
      </w:r>
      <w:r w:rsidRPr="004F1563">
        <w:rPr>
          <w:rFonts w:ascii="Times New Roman" w:hAnsi="Times New Roman" w:cs="Times New Roman"/>
        </w:rPr>
        <w:t>.</w:t>
      </w:r>
    </w:p>
  </w:footnote>
  <w:footnote w:id="94">
    <w:p w14:paraId="3555C2E4" w14:textId="69CD4AB4" w:rsidR="00494137" w:rsidRPr="00734CE8" w:rsidRDefault="00494137" w:rsidP="00734CE8">
      <w:pPr>
        <w:pStyle w:val="Textonotapie"/>
        <w:jc w:val="both"/>
        <w:rPr>
          <w:rFonts w:ascii="Times New Roman" w:hAnsi="Times New Roman" w:cs="Times New Roman"/>
        </w:rPr>
      </w:pPr>
      <w:r w:rsidRPr="00494137">
        <w:rPr>
          <w:rStyle w:val="Refdenotaalpie"/>
          <w:rFonts w:ascii="Times New Roman" w:hAnsi="Times New Roman" w:cs="Times New Roman"/>
        </w:rPr>
        <w:footnoteRef/>
      </w:r>
      <w:r w:rsidRPr="00494137">
        <w:rPr>
          <w:rFonts w:ascii="Times New Roman" w:hAnsi="Times New Roman" w:cs="Times New Roman"/>
        </w:rPr>
        <w:t xml:space="preserve"> </w:t>
      </w:r>
      <w:r w:rsidRPr="00494137">
        <w:rPr>
          <w:rFonts w:ascii="Times New Roman" w:hAnsi="Times New Roman" w:cs="Times New Roman"/>
          <w:i/>
          <w:iCs/>
        </w:rPr>
        <w:t>V.g</w:t>
      </w:r>
      <w:r w:rsidRPr="00494137">
        <w:rPr>
          <w:rFonts w:ascii="Times New Roman" w:hAnsi="Times New Roman" w:cs="Times New Roman"/>
        </w:rPr>
        <w:t xml:space="preserve">. C-619/18: </w:t>
      </w:r>
      <w:r w:rsidR="0041117B">
        <w:rPr>
          <w:rFonts w:ascii="Times New Roman" w:hAnsi="Times New Roman" w:cs="Times New Roman"/>
        </w:rPr>
        <w:t>T</w:t>
      </w:r>
      <w:r w:rsidRPr="00494137">
        <w:rPr>
          <w:rFonts w:ascii="Times New Roman" w:hAnsi="Times New Roman" w:cs="Times New Roman"/>
        </w:rPr>
        <w:t xml:space="preserve">he CJEU ruled that lowering the retirement age for Supreme Court judges violated EU </w:t>
      </w:r>
      <w:r w:rsidRPr="0041117B">
        <w:rPr>
          <w:rFonts w:ascii="Times New Roman" w:hAnsi="Times New Roman" w:cs="Times New Roman"/>
        </w:rPr>
        <w:t>law by undermining judicial independence. Poland was forced to reinstate judges who had been forced into early retirement</w:t>
      </w:r>
      <w:r w:rsidR="0041117B" w:rsidRPr="0041117B">
        <w:rPr>
          <w:rFonts w:ascii="Times New Roman" w:hAnsi="Times New Roman" w:cs="Times New Roman"/>
        </w:rPr>
        <w:t xml:space="preserve">. C-791/19: The CJEU ruled that Poland’s Disciplinary Chamber allowed political interference in the judiciary. Poland initially ignored the ruling, leading to daily fines of € 1 million from </w:t>
      </w:r>
      <w:r w:rsidR="0041117B" w:rsidRPr="00734CE8">
        <w:rPr>
          <w:rFonts w:ascii="Times New Roman" w:hAnsi="Times New Roman" w:cs="Times New Roman"/>
        </w:rPr>
        <w:t>October 2021 until compliance in 2023.</w:t>
      </w:r>
    </w:p>
  </w:footnote>
  <w:footnote w:id="95">
    <w:p w14:paraId="7AB1CE93" w14:textId="21FF3369" w:rsidR="00494137" w:rsidRPr="00734CE8" w:rsidRDefault="00494137" w:rsidP="00734CE8">
      <w:pPr>
        <w:pStyle w:val="Textonotapie"/>
        <w:jc w:val="both"/>
        <w:rPr>
          <w:rFonts w:ascii="Times New Roman" w:hAnsi="Times New Roman" w:cs="Times New Roman"/>
        </w:rPr>
      </w:pPr>
      <w:r w:rsidRPr="00734CE8">
        <w:rPr>
          <w:rStyle w:val="Refdenotaalpie"/>
          <w:rFonts w:ascii="Times New Roman" w:hAnsi="Times New Roman" w:cs="Times New Roman"/>
        </w:rPr>
        <w:footnoteRef/>
      </w:r>
      <w:r w:rsidRPr="00734CE8">
        <w:rPr>
          <w:rFonts w:ascii="Times New Roman" w:hAnsi="Times New Roman" w:cs="Times New Roman"/>
        </w:rPr>
        <w:t xml:space="preserve"> </w:t>
      </w:r>
      <w:r w:rsidRPr="00734CE8">
        <w:rPr>
          <w:rFonts w:ascii="Times New Roman" w:hAnsi="Times New Roman" w:cs="Times New Roman"/>
          <w:i/>
          <w:iCs/>
        </w:rPr>
        <w:t>V.g.</w:t>
      </w:r>
      <w:r w:rsidRPr="00734CE8">
        <w:rPr>
          <w:rFonts w:ascii="Times New Roman" w:hAnsi="Times New Roman" w:cs="Times New Roman"/>
        </w:rPr>
        <w:t xml:space="preserve"> C-</w:t>
      </w:r>
      <w:r w:rsidR="0041117B" w:rsidRPr="00734CE8">
        <w:rPr>
          <w:rFonts w:ascii="Times New Roman" w:hAnsi="Times New Roman" w:cs="Times New Roman"/>
        </w:rPr>
        <w:t>286</w:t>
      </w:r>
      <w:r w:rsidRPr="00734CE8">
        <w:rPr>
          <w:rFonts w:ascii="Times New Roman" w:hAnsi="Times New Roman" w:cs="Times New Roman"/>
        </w:rPr>
        <w:t>/1</w:t>
      </w:r>
      <w:r w:rsidR="0041117B" w:rsidRPr="00734CE8">
        <w:rPr>
          <w:rFonts w:ascii="Times New Roman" w:hAnsi="Times New Roman" w:cs="Times New Roman"/>
        </w:rPr>
        <w:t>2</w:t>
      </w:r>
      <w:r w:rsidRPr="00734CE8">
        <w:rPr>
          <w:rFonts w:ascii="Times New Roman" w:hAnsi="Times New Roman" w:cs="Times New Roman"/>
        </w:rPr>
        <w:t xml:space="preserve">: </w:t>
      </w:r>
      <w:r w:rsidR="0041117B" w:rsidRPr="00734CE8">
        <w:rPr>
          <w:rFonts w:ascii="Times New Roman" w:hAnsi="Times New Roman" w:cs="Times New Roman"/>
        </w:rPr>
        <w:t xml:space="preserve">Hungary lowered the retirement age for judges from 70 to 62, forcing over 200 judges into retirement. The CJEU ruled this violated EU anti-discrimination laws, forcing Hungary to compensate affected judges. C-718/17: The CJEU ruled </w:t>
      </w:r>
      <w:r w:rsidR="00734CE8" w:rsidRPr="00734CE8">
        <w:rPr>
          <w:rFonts w:ascii="Times New Roman" w:hAnsi="Times New Roman" w:cs="Times New Roman"/>
        </w:rPr>
        <w:t>that</w:t>
      </w:r>
      <w:r w:rsidR="0041117B" w:rsidRPr="00734CE8">
        <w:rPr>
          <w:rFonts w:ascii="Times New Roman" w:hAnsi="Times New Roman" w:cs="Times New Roman"/>
        </w:rPr>
        <w:t xml:space="preserve"> Hungary’s restrictions on judges referring cases to the CJEU</w:t>
      </w:r>
      <w:r w:rsidR="00734CE8" w:rsidRPr="00734CE8">
        <w:rPr>
          <w:rFonts w:ascii="Times New Roman" w:hAnsi="Times New Roman" w:cs="Times New Roman"/>
        </w:rPr>
        <w:t xml:space="preserve"> violated EU law.</w:t>
      </w:r>
    </w:p>
  </w:footnote>
  <w:footnote w:id="96">
    <w:p w14:paraId="223F3FE6" w14:textId="7973B8F8" w:rsidR="00576630" w:rsidRPr="00062F6C" w:rsidRDefault="00576630" w:rsidP="00734CE8">
      <w:pPr>
        <w:pStyle w:val="Textonotapie"/>
        <w:jc w:val="both"/>
        <w:rPr>
          <w:rFonts w:ascii="Times New Roman" w:hAnsi="Times New Roman" w:cs="Times New Roman"/>
        </w:rPr>
      </w:pPr>
      <w:r w:rsidRPr="00734CE8">
        <w:rPr>
          <w:rStyle w:val="Refdenotaalpie"/>
          <w:rFonts w:ascii="Times New Roman" w:hAnsi="Times New Roman" w:cs="Times New Roman"/>
        </w:rPr>
        <w:footnoteRef/>
      </w:r>
      <w:r w:rsidRPr="00062F6C">
        <w:rPr>
          <w:rFonts w:ascii="Times New Roman" w:hAnsi="Times New Roman" w:cs="Times New Roman"/>
        </w:rPr>
        <w:t xml:space="preserve"> BÁRD, P., </w:t>
      </w:r>
      <w:r w:rsidR="009D5B66" w:rsidRPr="00062F6C">
        <w:rPr>
          <w:rFonts w:ascii="Times New Roman" w:hAnsi="Times New Roman" w:cs="Times New Roman"/>
          <w:i/>
          <w:iCs/>
        </w:rPr>
        <w:t>cit</w:t>
      </w:r>
      <w:r w:rsidRPr="00062F6C">
        <w:rPr>
          <w:rFonts w:ascii="Times New Roman" w:hAnsi="Times New Roman" w:cs="Times New Roman"/>
        </w:rPr>
        <w:t>.</w:t>
      </w:r>
    </w:p>
  </w:footnote>
  <w:footnote w:id="97">
    <w:p w14:paraId="676FA2CB" w14:textId="7B7E9959" w:rsidR="00AE2A46" w:rsidRPr="00A06821" w:rsidRDefault="00AE2A46" w:rsidP="00AE2A46">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See COM(2014) 158 final, Communication from the Commission to the European Parliament and the Council, A new EU Framework to strengthen the </w:t>
      </w:r>
      <w:r w:rsidR="00062F6C">
        <w:rPr>
          <w:rFonts w:ascii="Times New Roman" w:hAnsi="Times New Roman" w:cs="Times New Roman"/>
        </w:rPr>
        <w:t>Rule of Law</w:t>
      </w:r>
      <w:r w:rsidRPr="00A06821">
        <w:rPr>
          <w:rFonts w:ascii="Times New Roman" w:hAnsi="Times New Roman" w:cs="Times New Roman"/>
        </w:rPr>
        <w:t xml:space="preserve">, March 2014, available at </w:t>
      </w:r>
      <w:hyperlink r:id="rId6" w:history="1">
        <w:r w:rsidRPr="00A06821">
          <w:rPr>
            <w:rStyle w:val="Hipervnculo"/>
            <w:rFonts w:ascii="Times New Roman" w:hAnsi="Times New Roman" w:cs="Times New Roman"/>
          </w:rPr>
          <w:t>https://eur-lex.europa.eu/legal-content/EN/TXT/?uri=celex:52014DC0158</w:t>
        </w:r>
      </w:hyperlink>
      <w:r w:rsidRPr="00A06821">
        <w:rPr>
          <w:rFonts w:ascii="Times New Roman" w:hAnsi="Times New Roman" w:cs="Times New Roman"/>
        </w:rPr>
        <w:t xml:space="preserve">. </w:t>
      </w:r>
    </w:p>
  </w:footnote>
  <w:footnote w:id="98">
    <w:p w14:paraId="11F065B0" w14:textId="77777777" w:rsidR="005C6C44" w:rsidRPr="00A06821" w:rsidRDefault="005C6C44" w:rsidP="005C6C44">
      <w:pPr>
        <w:pStyle w:val="Textonotapie"/>
        <w:jc w:val="both"/>
        <w:rPr>
          <w:rFonts w:ascii="Times New Roman" w:hAnsi="Times New Roman" w:cs="Times New Roman"/>
          <w:u w:val="single"/>
        </w:rPr>
      </w:pPr>
      <w:r w:rsidRPr="00A06821">
        <w:rPr>
          <w:rStyle w:val="Refdenotaalpie"/>
          <w:rFonts w:ascii="Times New Roman" w:hAnsi="Times New Roman" w:cs="Times New Roman"/>
        </w:rPr>
        <w:footnoteRef/>
      </w:r>
      <w:r w:rsidRPr="00A06821">
        <w:rPr>
          <w:rFonts w:ascii="Times New Roman" w:hAnsi="Times New Roman" w:cs="Times New Roman"/>
        </w:rPr>
        <w:t xml:space="preserve"> See https://ec.europa.eu/info/policies/justice-and-fundamental-rights/upholding-rule-law/rule-law/rule-law-mechanism_en</w:t>
      </w:r>
    </w:p>
    <w:p w14:paraId="1DF267B3" w14:textId="549960E7" w:rsidR="005C6C44" w:rsidRPr="00A06821" w:rsidRDefault="005C6C44" w:rsidP="005C6C44">
      <w:pPr>
        <w:pStyle w:val="Textonotapie"/>
        <w:jc w:val="both"/>
        <w:rPr>
          <w:rFonts w:ascii="Times New Roman" w:hAnsi="Times New Roman" w:cs="Times New Roman"/>
        </w:rPr>
      </w:pPr>
      <w:r w:rsidRPr="00A06821">
        <w:rPr>
          <w:rFonts w:ascii="Times New Roman" w:hAnsi="Times New Roman" w:cs="Times New Roman"/>
        </w:rPr>
        <w:t>The first evaluation of this tool took place in 2019 when the Council found that the dialogue could be “stronger, more result-oriented and better structured</w:t>
      </w:r>
      <w:r w:rsidR="00ED27CE">
        <w:rPr>
          <w:rFonts w:ascii="Times New Roman" w:hAnsi="Times New Roman" w:cs="Times New Roman"/>
        </w:rPr>
        <w:t>.</w:t>
      </w:r>
      <w:r w:rsidRPr="00A06821">
        <w:rPr>
          <w:rFonts w:ascii="Times New Roman" w:hAnsi="Times New Roman" w:cs="Times New Roman"/>
        </w:rPr>
        <w:t xml:space="preserve">” See </w:t>
      </w:r>
      <w:hyperlink r:id="rId7" w:history="1">
        <w:r w:rsidRPr="00A06821">
          <w:rPr>
            <w:rStyle w:val="Hipervnculo"/>
            <w:rFonts w:ascii="Times New Roman" w:hAnsi="Times New Roman" w:cs="Times New Roman"/>
          </w:rPr>
          <w:t>https://data.consilium.europa.eu/doc/document/ST-16936-2014-INIT/en/pdf</w:t>
        </w:r>
      </w:hyperlink>
      <w:r w:rsidRPr="00A06821">
        <w:rPr>
          <w:rFonts w:ascii="Times New Roman" w:hAnsi="Times New Roman" w:cs="Times New Roman"/>
        </w:rPr>
        <w:t xml:space="preserve">. And UITZ, R., «The Perils of Defending the </w:t>
      </w:r>
      <w:r w:rsidR="00062F6C">
        <w:rPr>
          <w:rFonts w:ascii="Times New Roman" w:hAnsi="Times New Roman" w:cs="Times New Roman"/>
        </w:rPr>
        <w:t>Rule of Law</w:t>
      </w:r>
      <w:r w:rsidRPr="00A06821">
        <w:rPr>
          <w:rFonts w:ascii="Times New Roman" w:hAnsi="Times New Roman" w:cs="Times New Roman"/>
        </w:rPr>
        <w:t xml:space="preserve"> Through Dialogue», </w:t>
      </w:r>
      <w:r w:rsidRPr="00A06821">
        <w:rPr>
          <w:rFonts w:ascii="Times New Roman" w:hAnsi="Times New Roman" w:cs="Times New Roman"/>
          <w:i/>
          <w:iCs/>
        </w:rPr>
        <w:t>European Constitutional Law Review</w:t>
      </w:r>
      <w:r w:rsidRPr="00A06821">
        <w:rPr>
          <w:rFonts w:ascii="Times New Roman" w:hAnsi="Times New Roman" w:cs="Times New Roman"/>
        </w:rPr>
        <w:t xml:space="preserve">, 2019/15, pp. 1-16; BÁRD, P., «The Crisis of the </w:t>
      </w:r>
      <w:r w:rsidR="00062F6C">
        <w:rPr>
          <w:rFonts w:ascii="Times New Roman" w:hAnsi="Times New Roman" w:cs="Times New Roman"/>
        </w:rPr>
        <w:t>Rule of Law</w:t>
      </w:r>
      <w:r w:rsidRPr="00A06821">
        <w:rPr>
          <w:rFonts w:ascii="Times New Roman" w:hAnsi="Times New Roman" w:cs="Times New Roman"/>
        </w:rPr>
        <w:t xml:space="preserve">, Democracy and Fundamental Rights in Hungary», </w:t>
      </w:r>
      <w:r w:rsidRPr="00A06821">
        <w:rPr>
          <w:rFonts w:ascii="Times New Roman" w:hAnsi="Times New Roman" w:cs="Times New Roman"/>
          <w:i/>
          <w:iCs/>
        </w:rPr>
        <w:t xml:space="preserve">MTA Law Working Papers </w:t>
      </w:r>
      <w:r w:rsidRPr="00A06821">
        <w:rPr>
          <w:rFonts w:ascii="Times New Roman" w:hAnsi="Times New Roman" w:cs="Times New Roman"/>
        </w:rPr>
        <w:t xml:space="preserve">2022/4, available at </w:t>
      </w:r>
      <w:hyperlink r:id="rId8" w:history="1">
        <w:r w:rsidRPr="00A06821">
          <w:rPr>
            <w:rStyle w:val="Hipervnculo"/>
            <w:rFonts w:ascii="Times New Roman" w:hAnsi="Times New Roman" w:cs="Times New Roman"/>
          </w:rPr>
          <w:t>https://jog.tk.hu/mtalwp/the-crisis-of-the-rule-of-law-democracy-and-fundamental-rights-in-hungary</w:t>
        </w:r>
      </w:hyperlink>
      <w:r w:rsidRPr="00A06821">
        <w:rPr>
          <w:rFonts w:ascii="Times New Roman" w:hAnsi="Times New Roman" w:cs="Times New Roman"/>
        </w:rPr>
        <w:t xml:space="preserve">]; KOMANOVICS, A., «Hungary and the Luxembourg Court: the CJEU’s Role in the </w:t>
      </w:r>
      <w:r w:rsidR="00062F6C">
        <w:rPr>
          <w:rFonts w:ascii="Times New Roman" w:hAnsi="Times New Roman" w:cs="Times New Roman"/>
        </w:rPr>
        <w:t>Rule of Law</w:t>
      </w:r>
      <w:r w:rsidRPr="00A06821">
        <w:rPr>
          <w:rFonts w:ascii="Times New Roman" w:hAnsi="Times New Roman" w:cs="Times New Roman"/>
        </w:rPr>
        <w:t xml:space="preserve"> Battlefield», </w:t>
      </w:r>
      <w:r w:rsidRPr="00A06821">
        <w:rPr>
          <w:rFonts w:ascii="Times New Roman" w:hAnsi="Times New Roman" w:cs="Times New Roman"/>
          <w:i/>
          <w:iCs/>
        </w:rPr>
        <w:t>EU and Comparative Law Issues and Challenges Series</w:t>
      </w:r>
      <w:r w:rsidRPr="00A06821">
        <w:rPr>
          <w:rFonts w:ascii="Times New Roman" w:hAnsi="Times New Roman" w:cs="Times New Roman"/>
        </w:rPr>
        <w:t>, Issue 6, 2022, pp. 122-157, available at https://hrcak.srce.hr/ojs/index.php/eclic/article/view/22413/11940.</w:t>
      </w:r>
    </w:p>
  </w:footnote>
  <w:footnote w:id="99">
    <w:p w14:paraId="072A55E8" w14:textId="10ED448F" w:rsidR="002D7EAA" w:rsidRPr="00A06821" w:rsidRDefault="002D7EAA" w:rsidP="002D7EAA">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Commission Decisions 2006/928/EC and 2006/929/EC of 13.12. and See, PECH. L., 2022, </w:t>
      </w:r>
      <w:r w:rsidRPr="00A06821">
        <w:rPr>
          <w:rFonts w:ascii="Times New Roman" w:hAnsi="Times New Roman" w:cs="Times New Roman"/>
          <w:i/>
          <w:iCs/>
        </w:rPr>
        <w:t>cit</w:t>
      </w:r>
      <w:r w:rsidRPr="00A06821">
        <w:rPr>
          <w:rFonts w:ascii="Times New Roman" w:hAnsi="Times New Roman" w:cs="Times New Roman"/>
        </w:rPr>
        <w:t>. See also https://ec.europa.eu/info/policies/justice-and-fundamental-rights/upholding-rule-law/rule-law/assistance-bulgaria-and-romania-under-cvm/cooperation-and-verification-mechanism-bulgaria-and-romania_en</w:t>
      </w:r>
    </w:p>
  </w:footnote>
  <w:footnote w:id="100">
    <w:p w14:paraId="5FC8D9A4" w14:textId="7942642A" w:rsidR="00286896" w:rsidRPr="00A06821" w:rsidRDefault="00286896" w:rsidP="00286896">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Regulation (EU, Euratom) 2020/2092 of the European Parliament and of the Council of 16.12 on a general regime of conditionality for the protection of the financial interest and the budget of the European Union, which links EU funding with </w:t>
      </w:r>
      <w:r w:rsidR="00062F6C">
        <w:rPr>
          <w:rFonts w:ascii="Times New Roman" w:hAnsi="Times New Roman" w:cs="Times New Roman"/>
        </w:rPr>
        <w:t>Member States</w:t>
      </w:r>
      <w:r w:rsidR="00ED27CE">
        <w:rPr>
          <w:rFonts w:ascii="Times New Roman" w:hAnsi="Times New Roman" w:cs="Times New Roman"/>
        </w:rPr>
        <w:t>'</w:t>
      </w:r>
      <w:r w:rsidRPr="00A06821">
        <w:rPr>
          <w:rFonts w:ascii="Times New Roman" w:hAnsi="Times New Roman" w:cs="Times New Roman"/>
        </w:rPr>
        <w:t xml:space="preserve"> compliance.</w:t>
      </w:r>
    </w:p>
  </w:footnote>
  <w:footnote w:id="101">
    <w:p w14:paraId="4D57F643" w14:textId="10490997" w:rsidR="00286896" w:rsidRPr="00A06821" w:rsidRDefault="00286896" w:rsidP="00286896">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footnote>
  <w:footnote w:id="102">
    <w:p w14:paraId="131643A3" w14:textId="77777777" w:rsidR="004E2E14" w:rsidRPr="00A06821" w:rsidRDefault="004E2E14" w:rsidP="004E2E14">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See https://ec.europa.eu/info/business-economy-euro/economic-and-fiscal-policy-coordination/eu-economic-governance-monitoring-prevention-correction/european-semester_en. PECH. L., 2022, </w:t>
      </w:r>
      <w:r w:rsidRPr="00A06821">
        <w:rPr>
          <w:rFonts w:ascii="Times New Roman" w:hAnsi="Times New Roman" w:cs="Times New Roman"/>
          <w:i/>
          <w:iCs/>
        </w:rPr>
        <w:t>cit</w:t>
      </w:r>
      <w:r w:rsidRPr="00A06821">
        <w:rPr>
          <w:rFonts w:ascii="Times New Roman" w:hAnsi="Times New Roman" w:cs="Times New Roman"/>
        </w:rPr>
        <w:t>.</w:t>
      </w:r>
    </w:p>
  </w:footnote>
  <w:footnote w:id="103">
    <w:p w14:paraId="0E054BB7" w14:textId="08FD1C98" w:rsidR="004E2E14" w:rsidRPr="003B7CC4" w:rsidRDefault="004E2E14" w:rsidP="003B7CC4">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COM(2013) 160 final, Communication from the Commission to the European Parliament, the Council, the European Central Bank, the European Economic and Social Committee and the Committee of the </w:t>
      </w:r>
      <w:r w:rsidRPr="003B7CC4">
        <w:rPr>
          <w:rFonts w:ascii="Times New Roman" w:hAnsi="Times New Roman" w:cs="Times New Roman"/>
        </w:rPr>
        <w:t xml:space="preserve">Regions, </w:t>
      </w:r>
      <w:r w:rsidRPr="003B7CC4">
        <w:rPr>
          <w:rFonts w:ascii="Times New Roman" w:hAnsi="Times New Roman" w:cs="Times New Roman"/>
          <w:i/>
          <w:iCs/>
        </w:rPr>
        <w:t>The EU Justice Scoreboard. A tool to promote effective justice and growth</w:t>
      </w:r>
      <w:r w:rsidRPr="003B7CC4">
        <w:rPr>
          <w:rFonts w:ascii="Times New Roman" w:hAnsi="Times New Roman" w:cs="Times New Roman"/>
        </w:rPr>
        <w:t>, 27.3.2013. (see note 9</w:t>
      </w:r>
      <w:r w:rsidR="000A47D3" w:rsidRPr="003B7CC4">
        <w:rPr>
          <w:rFonts w:ascii="Times New Roman" w:hAnsi="Times New Roman" w:cs="Times New Roman"/>
        </w:rPr>
        <w:t>6</w:t>
      </w:r>
      <w:r w:rsidRPr="003B7CC4">
        <w:rPr>
          <w:rFonts w:ascii="Times New Roman" w:hAnsi="Times New Roman" w:cs="Times New Roman"/>
        </w:rPr>
        <w:t xml:space="preserve">). </w:t>
      </w:r>
    </w:p>
  </w:footnote>
  <w:footnote w:id="104">
    <w:p w14:paraId="2C545AEE" w14:textId="1B0FCB64" w:rsidR="00161594" w:rsidRPr="003B7CC4" w:rsidRDefault="00161594" w:rsidP="003B7CC4">
      <w:pPr>
        <w:pStyle w:val="Textonotapie"/>
        <w:jc w:val="both"/>
        <w:rPr>
          <w:rFonts w:ascii="Times New Roman" w:hAnsi="Times New Roman" w:cs="Times New Roman"/>
        </w:rPr>
      </w:pPr>
      <w:r w:rsidRPr="003B7CC4">
        <w:rPr>
          <w:rStyle w:val="Refdenotaalpie"/>
          <w:rFonts w:ascii="Times New Roman" w:hAnsi="Times New Roman" w:cs="Times New Roman"/>
        </w:rPr>
        <w:footnoteRef/>
      </w:r>
      <w:r w:rsidRPr="003B7CC4">
        <w:rPr>
          <w:rFonts w:ascii="Times New Roman" w:hAnsi="Times New Roman" w:cs="Times New Roman"/>
        </w:rPr>
        <w:t xml:space="preserve"> The European Commission activated Article 7(1) TEU against Poland due to concerns over de judicial reforms introduced by the ruling PiS party, which increased government influence over courts. This included lowering the retirement age of Supreme Court judges (forcing the removal of critical judges) and creating a Disciplinary Chamber with government-appointed judges to punish independent judges.</w:t>
      </w:r>
    </w:p>
  </w:footnote>
  <w:footnote w:id="105">
    <w:p w14:paraId="660F75AF" w14:textId="0DB78DB0" w:rsidR="00161594" w:rsidRPr="003B7CC4" w:rsidRDefault="00161594" w:rsidP="003B7CC4">
      <w:pPr>
        <w:pStyle w:val="Textonotapie"/>
        <w:jc w:val="both"/>
        <w:rPr>
          <w:rFonts w:ascii="Times New Roman" w:hAnsi="Times New Roman" w:cs="Times New Roman"/>
        </w:rPr>
      </w:pPr>
      <w:r w:rsidRPr="003B7CC4">
        <w:rPr>
          <w:rStyle w:val="Refdenotaalpie"/>
          <w:rFonts w:ascii="Times New Roman" w:hAnsi="Times New Roman" w:cs="Times New Roman"/>
        </w:rPr>
        <w:footnoteRef/>
      </w:r>
      <w:r w:rsidRPr="003B7CC4">
        <w:rPr>
          <w:rFonts w:ascii="Times New Roman" w:hAnsi="Times New Roman" w:cs="Times New Roman"/>
        </w:rPr>
        <w:t xml:space="preserve"> The European Parliament voted to trigger Article 7 against Hungary over </w:t>
      </w:r>
      <w:r w:rsidR="00062F6C">
        <w:rPr>
          <w:rFonts w:ascii="Times New Roman" w:hAnsi="Times New Roman" w:cs="Times New Roman"/>
        </w:rPr>
        <w:t>Rule of Law</w:t>
      </w:r>
      <w:r w:rsidRPr="003B7CC4">
        <w:rPr>
          <w:rFonts w:ascii="Times New Roman" w:hAnsi="Times New Roman" w:cs="Times New Roman"/>
        </w:rPr>
        <w:t xml:space="preserve"> concerns, particularly, the political control over courts through government-friendly </w:t>
      </w:r>
      <w:r w:rsidR="003B7CC4" w:rsidRPr="003B7CC4">
        <w:rPr>
          <w:rFonts w:ascii="Times New Roman" w:hAnsi="Times New Roman" w:cs="Times New Roman"/>
        </w:rPr>
        <w:t>appointments</w:t>
      </w:r>
      <w:r w:rsidRPr="003B7CC4">
        <w:rPr>
          <w:rFonts w:ascii="Times New Roman" w:hAnsi="Times New Roman" w:cs="Times New Roman"/>
        </w:rPr>
        <w:t xml:space="preserve"> and </w:t>
      </w:r>
      <w:r w:rsidR="003B7CC4" w:rsidRPr="003B7CC4">
        <w:rPr>
          <w:rFonts w:ascii="Times New Roman" w:hAnsi="Times New Roman" w:cs="Times New Roman"/>
        </w:rPr>
        <w:t>the erosion of media and academic freedom, which affects judicial independence.</w:t>
      </w:r>
    </w:p>
  </w:footnote>
  <w:footnote w:id="106">
    <w:p w14:paraId="5880EFBD" w14:textId="0AB80E6C" w:rsidR="007F0E4E" w:rsidRPr="00A06821" w:rsidRDefault="007F0E4E" w:rsidP="003B7CC4">
      <w:pPr>
        <w:pStyle w:val="Textonotapie"/>
        <w:jc w:val="both"/>
        <w:rPr>
          <w:rFonts w:ascii="Times New Roman" w:hAnsi="Times New Roman" w:cs="Times New Roman"/>
        </w:rPr>
      </w:pPr>
      <w:r w:rsidRPr="003B7CC4">
        <w:rPr>
          <w:rStyle w:val="Refdenotaalpie"/>
          <w:rFonts w:ascii="Times New Roman" w:hAnsi="Times New Roman" w:cs="Times New Roman"/>
        </w:rPr>
        <w:footnoteRef/>
      </w:r>
      <w:r w:rsidRPr="003B7CC4">
        <w:rPr>
          <w:rFonts w:ascii="Times New Roman" w:hAnsi="Times New Roman" w:cs="Times New Roman"/>
        </w:rPr>
        <w:t xml:space="preserve"> </w:t>
      </w:r>
      <w:r w:rsidR="00CC3CF1" w:rsidRPr="003B7CC4">
        <w:rPr>
          <w:rFonts w:ascii="Times New Roman" w:hAnsi="Times New Roman" w:cs="Times New Roman"/>
        </w:rPr>
        <w:t xml:space="preserve">Article 7 TEU </w:t>
      </w:r>
      <w:r w:rsidR="00707B3B" w:rsidRPr="003B7CC4">
        <w:rPr>
          <w:rFonts w:ascii="Times New Roman" w:hAnsi="Times New Roman" w:cs="Times New Roman"/>
        </w:rPr>
        <w:t xml:space="preserve">was introduced in </w:t>
      </w:r>
      <w:r w:rsidR="003B7CC4">
        <w:rPr>
          <w:rFonts w:ascii="Times New Roman" w:hAnsi="Times New Roman" w:cs="Times New Roman"/>
        </w:rPr>
        <w:t xml:space="preserve">the </w:t>
      </w:r>
      <w:r w:rsidR="00707B3B" w:rsidRPr="003B7CC4">
        <w:rPr>
          <w:rFonts w:ascii="Times New Roman" w:hAnsi="Times New Roman" w:cs="Times New Roman"/>
        </w:rPr>
        <w:t xml:space="preserve">Amsterdam Treaty </w:t>
      </w:r>
      <w:r w:rsidR="003B7CC4">
        <w:rPr>
          <w:rFonts w:ascii="Times New Roman" w:hAnsi="Times New Roman" w:cs="Times New Roman"/>
        </w:rPr>
        <w:t>to address</w:t>
      </w:r>
      <w:r w:rsidR="00707B3B" w:rsidRPr="003B7CC4">
        <w:rPr>
          <w:rFonts w:ascii="Times New Roman" w:hAnsi="Times New Roman" w:cs="Times New Roman"/>
        </w:rPr>
        <w:t xml:space="preserve"> serious breaches </w:t>
      </w:r>
      <w:r w:rsidR="003B7CC4">
        <w:rPr>
          <w:rFonts w:ascii="Times New Roman" w:hAnsi="Times New Roman" w:cs="Times New Roman"/>
        </w:rPr>
        <w:t>of</w:t>
      </w:r>
      <w:r w:rsidR="00707B3B" w:rsidRPr="003B7CC4">
        <w:rPr>
          <w:rFonts w:ascii="Times New Roman" w:hAnsi="Times New Roman" w:cs="Times New Roman"/>
        </w:rPr>
        <w:t xml:space="preserve"> the </w:t>
      </w:r>
      <w:r w:rsidR="00062F6C">
        <w:rPr>
          <w:rFonts w:ascii="Times New Roman" w:hAnsi="Times New Roman" w:cs="Times New Roman"/>
        </w:rPr>
        <w:t>Rule of Law</w:t>
      </w:r>
      <w:r w:rsidR="00707B3B" w:rsidRPr="003B7CC4">
        <w:rPr>
          <w:rFonts w:ascii="Times New Roman" w:hAnsi="Times New Roman" w:cs="Times New Roman"/>
        </w:rPr>
        <w:t xml:space="preserve">, with dialogue and </w:t>
      </w:r>
      <w:r w:rsidR="006E5C1B" w:rsidRPr="003B7CC4">
        <w:rPr>
          <w:rFonts w:ascii="Times New Roman" w:hAnsi="Times New Roman" w:cs="Times New Roman"/>
        </w:rPr>
        <w:t>sanctions</w:t>
      </w:r>
      <w:r w:rsidR="00707B3B" w:rsidRPr="003B7CC4">
        <w:rPr>
          <w:rFonts w:ascii="Times New Roman" w:hAnsi="Times New Roman" w:cs="Times New Roman"/>
        </w:rPr>
        <w:t xml:space="preserve">. It </w:t>
      </w:r>
      <w:r w:rsidR="00CC3CF1" w:rsidRPr="003B7CC4">
        <w:rPr>
          <w:rFonts w:ascii="Times New Roman" w:hAnsi="Times New Roman" w:cs="Times New Roman"/>
        </w:rPr>
        <w:t>is the last resort to ensure that an EU country complies</w:t>
      </w:r>
      <w:r w:rsidR="00CC3CF1" w:rsidRPr="00A06821">
        <w:rPr>
          <w:rFonts w:ascii="Times New Roman" w:hAnsi="Times New Roman" w:cs="Times New Roman"/>
        </w:rPr>
        <w:t xml:space="preserve"> with EU values enshrined in Article 2 TEU. It</w:t>
      </w:r>
      <w:r w:rsidRPr="00A06821">
        <w:rPr>
          <w:rFonts w:ascii="Times New Roman" w:hAnsi="Times New Roman" w:cs="Times New Roman"/>
        </w:rPr>
        <w:t xml:space="preserve"> allows the relevant EU institutions to act in situations where there is a clear risk of a serious breach by a Member State of values referred to in Article 2</w:t>
      </w:r>
      <w:r w:rsidR="00C4175B">
        <w:rPr>
          <w:rFonts w:ascii="Times New Roman" w:hAnsi="Times New Roman" w:cs="Times New Roman"/>
        </w:rPr>
        <w:t xml:space="preserve"> </w:t>
      </w:r>
      <w:r w:rsidR="00FF138F" w:rsidRPr="00A06821">
        <w:rPr>
          <w:rFonts w:ascii="Times New Roman" w:hAnsi="Times New Roman" w:cs="Times New Roman"/>
        </w:rPr>
        <w:t xml:space="preserve">- preventive mechanism </w:t>
      </w:r>
      <w:r w:rsidRPr="00A06821">
        <w:rPr>
          <w:rFonts w:ascii="Times New Roman" w:hAnsi="Times New Roman" w:cs="Times New Roman"/>
        </w:rPr>
        <w:t xml:space="preserve">(1), or where there is a serious and persistent breach of these values </w:t>
      </w:r>
      <w:r w:rsidR="00FF138F" w:rsidRPr="00A06821">
        <w:rPr>
          <w:rFonts w:ascii="Times New Roman" w:hAnsi="Times New Roman" w:cs="Times New Roman"/>
        </w:rPr>
        <w:t xml:space="preserve">– sanctions mechanism </w:t>
      </w:r>
      <w:r w:rsidRPr="00A06821">
        <w:rPr>
          <w:rFonts w:ascii="Times New Roman" w:hAnsi="Times New Roman" w:cs="Times New Roman"/>
        </w:rPr>
        <w:t xml:space="preserve">(2). </w:t>
      </w:r>
      <w:r w:rsidR="00134716" w:rsidRPr="00A06821">
        <w:rPr>
          <w:rFonts w:ascii="Times New Roman" w:hAnsi="Times New Roman" w:cs="Times New Roman"/>
        </w:rPr>
        <w:t>The</w:t>
      </w:r>
      <w:r w:rsidRPr="00A06821">
        <w:rPr>
          <w:rFonts w:ascii="Times New Roman" w:hAnsi="Times New Roman" w:cs="Times New Roman"/>
        </w:rPr>
        <w:t xml:space="preserve"> Member State concerned can be sanctioned through the suspension of membership rights.</w:t>
      </w:r>
    </w:p>
  </w:footnote>
  <w:footnote w:id="107">
    <w:p w14:paraId="59B093EB" w14:textId="2C1C999D" w:rsidR="00855E29" w:rsidRPr="00A06821" w:rsidRDefault="00855E29"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Laurent </w:t>
      </w:r>
      <w:r w:rsidR="00B9120A" w:rsidRPr="00A06821">
        <w:rPr>
          <w:rFonts w:ascii="Times New Roman" w:hAnsi="Times New Roman" w:cs="Times New Roman"/>
        </w:rPr>
        <w:t>PECH</w:t>
      </w:r>
      <w:r w:rsidRPr="00A06821">
        <w:rPr>
          <w:rFonts w:ascii="Times New Roman" w:hAnsi="Times New Roman" w:cs="Times New Roman"/>
        </w:rPr>
        <w:t xml:space="preserve"> and Kim Lane </w:t>
      </w:r>
      <w:r w:rsidR="00B9120A" w:rsidRPr="00A06821">
        <w:rPr>
          <w:rFonts w:ascii="Times New Roman" w:hAnsi="Times New Roman" w:cs="Times New Roman"/>
        </w:rPr>
        <w:t>SCHEPPELE</w:t>
      </w:r>
      <w:r w:rsidRPr="00A06821">
        <w:rPr>
          <w:rFonts w:ascii="Times New Roman" w:hAnsi="Times New Roman" w:cs="Times New Roman"/>
        </w:rPr>
        <w:t xml:space="preserve"> (“Illiberalism Within: </w:t>
      </w:r>
      <w:r w:rsidR="00062F6C">
        <w:rPr>
          <w:rFonts w:ascii="Times New Roman" w:hAnsi="Times New Roman" w:cs="Times New Roman"/>
        </w:rPr>
        <w:t>Rule of Law</w:t>
      </w:r>
      <w:r w:rsidRPr="00A06821">
        <w:rPr>
          <w:rFonts w:ascii="Times New Roman" w:hAnsi="Times New Roman" w:cs="Times New Roman"/>
        </w:rPr>
        <w:t xml:space="preserve"> Backsliding in the EU.” Cambridge Yearbook of European Legal Studies 19, 2017, 3-47)</w:t>
      </w:r>
      <w:r w:rsidR="0038631C" w:rsidRPr="00A06821">
        <w:rPr>
          <w:rFonts w:ascii="Times New Roman" w:hAnsi="Times New Roman" w:cs="Times New Roman"/>
        </w:rPr>
        <w:t xml:space="preserve"> call on the EU institutions to «use all of the tools at their disposal. The Commission must revive and reframe its use of the infringement procedure (…) [and] to vigorously press the European Council and the Council to unequivocally support its efforts in establishing unambiguous deadlines and instructions when the </w:t>
      </w:r>
      <w:r w:rsidR="00062F6C">
        <w:rPr>
          <w:rFonts w:ascii="Times New Roman" w:hAnsi="Times New Roman" w:cs="Times New Roman"/>
        </w:rPr>
        <w:t>Rule of Law</w:t>
      </w:r>
      <w:r w:rsidR="0038631C" w:rsidRPr="00A06821">
        <w:rPr>
          <w:rFonts w:ascii="Times New Roman" w:hAnsi="Times New Roman" w:cs="Times New Roman"/>
        </w:rPr>
        <w:t xml:space="preserve"> Framework has been invoked. The European Parliament could have triggered Article 7 if it had worked toward establishing the two-thirds vote it would take to do so. But that could only be done if partisan politics were put aside so that powerful parties such as the European People’s Party did not shield their member governments from the consequences of violating EU basic values. Even the Court of Justice must </w:t>
      </w:r>
      <w:r w:rsidR="00AB1B52" w:rsidRPr="00A06821">
        <w:rPr>
          <w:rFonts w:ascii="Times New Roman" w:hAnsi="Times New Roman" w:cs="Times New Roman"/>
        </w:rPr>
        <w:t>recognize</w:t>
      </w:r>
      <w:r w:rsidR="0038631C" w:rsidRPr="00A06821">
        <w:rPr>
          <w:rFonts w:ascii="Times New Roman" w:hAnsi="Times New Roman" w:cs="Times New Roman"/>
        </w:rPr>
        <w:t xml:space="preserve"> that the EU faces new challenges that call for adjustment of existing doctrine created in better times».</w:t>
      </w:r>
    </w:p>
  </w:footnote>
  <w:footnote w:id="108">
    <w:p w14:paraId="3643F89C" w14:textId="41316506" w:rsidR="00677288" w:rsidRDefault="00677288" w:rsidP="00677288">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Hungary joined the European Union in 2004 and since then, the country remained a net beneficiary of EU structural aid until 2022, when budgetary funds were withdrawn by Brussels due to </w:t>
      </w:r>
      <w:r w:rsidR="00062F6C">
        <w:rPr>
          <w:rFonts w:ascii="Times New Roman" w:hAnsi="Times New Roman" w:cs="Times New Roman"/>
        </w:rPr>
        <w:t>Rule of Law</w:t>
      </w:r>
      <w:r>
        <w:rPr>
          <w:rFonts w:ascii="Times New Roman" w:hAnsi="Times New Roman" w:cs="Times New Roman"/>
        </w:rPr>
        <w:t xml:space="preserve"> issues. In 2021, the country contributed €1.7 billion to the EU budget and received €6 billion. Most of the structural assistance is dedicated to "cohesion, resilience and values". Cfr. </w:t>
      </w:r>
      <w:hyperlink r:id="rId9" w:history="1">
        <w:r>
          <w:rPr>
            <w:rStyle w:val="Hipervnculo"/>
            <w:rFonts w:ascii="Times New Roman" w:hAnsi="Times New Roman" w:cs="Times New Roman"/>
          </w:rPr>
          <w:t>https://gisreportsonline.com/r/hungary-eu-divide/</w:t>
        </w:r>
      </w:hyperlink>
      <w:r>
        <w:rPr>
          <w:rFonts w:ascii="Times New Roman" w:hAnsi="Times New Roman" w:cs="Times New Roman"/>
        </w:rPr>
        <w:t xml:space="preserve"> </w:t>
      </w:r>
    </w:p>
  </w:footnote>
  <w:footnote w:id="109">
    <w:p w14:paraId="68A5392F" w14:textId="77777777" w:rsidR="00677288" w:rsidRDefault="00677288" w:rsidP="00677288">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20% of all EU funds frozen for Hungary under the current seven-year budget frame.</w:t>
      </w:r>
    </w:p>
  </w:footnote>
  <w:footnote w:id="110">
    <w:p w14:paraId="258FA8FA" w14:textId="7E162544" w:rsidR="00677288" w:rsidRDefault="00677288" w:rsidP="00677288">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Hungary and Poland are the only EU members lagging in obtaining the recovery funds, which the European Commission has blocked over accusations that their nationalist governments undermine democracy and the </w:t>
      </w:r>
      <w:r w:rsidR="00062F6C">
        <w:rPr>
          <w:rFonts w:ascii="Times New Roman" w:hAnsi="Times New Roman" w:cs="Times New Roman"/>
        </w:rPr>
        <w:t>Rule of Law</w:t>
      </w:r>
      <w:r>
        <w:rPr>
          <w:rFonts w:ascii="Times New Roman" w:hAnsi="Times New Roman" w:cs="Times New Roman"/>
        </w:rPr>
        <w:t>.</w:t>
      </w:r>
    </w:p>
  </w:footnote>
  <w:footnote w:id="111">
    <w:p w14:paraId="13523DB0" w14:textId="70BCFC1F" w:rsidR="00677288" w:rsidRDefault="00677288" w:rsidP="00677288">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Hungary has refused to provide any military equipment to Ukraine to help it fight against </w:t>
      </w:r>
      <w:r w:rsidR="00ED27CE">
        <w:rPr>
          <w:rFonts w:ascii="Times New Roman" w:hAnsi="Times New Roman" w:cs="Times New Roman"/>
        </w:rPr>
        <w:t xml:space="preserve">the </w:t>
      </w:r>
      <w:r>
        <w:rPr>
          <w:rFonts w:ascii="Times New Roman" w:hAnsi="Times New Roman" w:cs="Times New Roman"/>
        </w:rPr>
        <w:t>Russian invasion.</w:t>
      </w:r>
    </w:p>
  </w:footnote>
  <w:footnote w:id="112">
    <w:p w14:paraId="55154B9F" w14:textId="1C1A8380" w:rsidR="00677288" w:rsidRDefault="00677288" w:rsidP="00677288">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It still might block sanctions against Russia, further financial assistance for Ukraine</w:t>
      </w:r>
      <w:r w:rsidR="00ED27CE">
        <w:rPr>
          <w:rFonts w:ascii="Times New Roman" w:hAnsi="Times New Roman" w:cs="Times New Roman"/>
        </w:rPr>
        <w:t>,</w:t>
      </w:r>
      <w:r>
        <w:rPr>
          <w:rFonts w:ascii="Times New Roman" w:hAnsi="Times New Roman" w:cs="Times New Roman"/>
        </w:rPr>
        <w:t xml:space="preserve"> or the revision of </w:t>
      </w:r>
      <w:r w:rsidR="00ED27CE">
        <w:rPr>
          <w:rFonts w:ascii="Times New Roman" w:hAnsi="Times New Roman" w:cs="Times New Roman"/>
        </w:rPr>
        <w:t xml:space="preserve">the </w:t>
      </w:r>
      <w:r>
        <w:rPr>
          <w:rFonts w:ascii="Times New Roman" w:hAnsi="Times New Roman" w:cs="Times New Roman"/>
        </w:rPr>
        <w:t>EU budget.</w:t>
      </w:r>
    </w:p>
  </w:footnote>
  <w:footnote w:id="113">
    <w:p w14:paraId="2D0305EE" w14:textId="77777777" w:rsidR="00677288" w:rsidRDefault="00677288" w:rsidP="00677288">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Hungary’s Gross Domestic Product (GDP) in 2021 was € 182.8 billion.</w:t>
      </w:r>
    </w:p>
  </w:footnote>
  <w:footnote w:id="114">
    <w:p w14:paraId="680735E7" w14:textId="7DB901B4" w:rsidR="00677288" w:rsidRDefault="00677288" w:rsidP="00677288">
      <w:pPr>
        <w:spacing w:after="0" w:line="240" w:lineRule="auto"/>
        <w:jc w:val="both"/>
        <w:rPr>
          <w:rFonts w:ascii="Times New Roman" w:hAnsi="Times New Roman" w:cs="Times New Roman"/>
          <w:sz w:val="20"/>
          <w:szCs w:val="20"/>
        </w:rPr>
      </w:pPr>
      <w:r>
        <w:rPr>
          <w:rStyle w:val="Refdenotaalpie"/>
          <w:rFonts w:ascii="Times New Roman" w:hAnsi="Times New Roman" w:cs="Times New Roman"/>
          <w:sz w:val="20"/>
          <w:szCs w:val="20"/>
        </w:rPr>
        <w:footnoteRef/>
      </w:r>
      <w:r>
        <w:rPr>
          <w:rFonts w:ascii="Times New Roman" w:hAnsi="Times New Roman" w:cs="Times New Roman"/>
          <w:sz w:val="20"/>
          <w:szCs w:val="20"/>
        </w:rPr>
        <w:t xml:space="preserve"> The Hungarian civil society plays </w:t>
      </w:r>
      <w:r w:rsidR="00926A2B">
        <w:rPr>
          <w:rFonts w:ascii="Times New Roman" w:hAnsi="Times New Roman" w:cs="Times New Roman"/>
          <w:sz w:val="20"/>
          <w:szCs w:val="20"/>
        </w:rPr>
        <w:t>a significant role</w:t>
      </w:r>
      <w:r>
        <w:rPr>
          <w:rFonts w:ascii="Times New Roman" w:hAnsi="Times New Roman" w:cs="Times New Roman"/>
          <w:sz w:val="20"/>
          <w:szCs w:val="20"/>
        </w:rPr>
        <w:t xml:space="preserve"> </w:t>
      </w:r>
      <w:r w:rsidR="00ED27CE">
        <w:rPr>
          <w:rFonts w:ascii="Times New Roman" w:hAnsi="Times New Roman" w:cs="Times New Roman"/>
          <w:sz w:val="20"/>
          <w:szCs w:val="20"/>
        </w:rPr>
        <w:t xml:space="preserve">in </w:t>
      </w:r>
      <w:r>
        <w:rPr>
          <w:rFonts w:ascii="Times New Roman" w:hAnsi="Times New Roman" w:cs="Times New Roman"/>
          <w:sz w:val="20"/>
          <w:szCs w:val="20"/>
        </w:rPr>
        <w:t xml:space="preserve">monitoring </w:t>
      </w:r>
      <w:r w:rsidR="00ED27CE">
        <w:rPr>
          <w:rFonts w:ascii="Times New Roman" w:hAnsi="Times New Roman" w:cs="Times New Roman"/>
          <w:sz w:val="20"/>
          <w:szCs w:val="20"/>
        </w:rPr>
        <w:t xml:space="preserve">the </w:t>
      </w:r>
      <w:r>
        <w:rPr>
          <w:rFonts w:ascii="Times New Roman" w:hAnsi="Times New Roman" w:cs="Times New Roman"/>
          <w:sz w:val="20"/>
          <w:szCs w:val="20"/>
        </w:rPr>
        <w:t xml:space="preserve">Hungarian </w:t>
      </w:r>
      <w:r w:rsidR="00ED27CE">
        <w:rPr>
          <w:rFonts w:ascii="Times New Roman" w:hAnsi="Times New Roman" w:cs="Times New Roman"/>
          <w:sz w:val="20"/>
          <w:szCs w:val="20"/>
        </w:rPr>
        <w:t>government's</w:t>
      </w:r>
      <w:r>
        <w:rPr>
          <w:rFonts w:ascii="Times New Roman" w:hAnsi="Times New Roman" w:cs="Times New Roman"/>
          <w:sz w:val="20"/>
          <w:szCs w:val="20"/>
        </w:rPr>
        <w:t xml:space="preserve"> progress to comply with the EU conditions.</w:t>
      </w:r>
    </w:p>
  </w:footnote>
  <w:footnote w:id="115">
    <w:p w14:paraId="77ABD2D4" w14:textId="10829CCD" w:rsidR="00677288" w:rsidRDefault="00677288" w:rsidP="00677288">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w:t>
      </w:r>
      <w:r w:rsidRPr="00826DA3">
        <w:rPr>
          <w:rFonts w:ascii="Times New Roman" w:hAnsi="Times New Roman" w:cs="Times New Roman"/>
        </w:rPr>
        <w:t>Out of the 27 super milestones, 13 have been achieved, 7 have been achieved only partly, and 7 have not been achieved. Out of the 20 “ordinary” milestones and targets that were due by the end of the first quarter of 2023</w:t>
      </w:r>
      <w:r w:rsidR="00ED27CE" w:rsidRPr="00826DA3">
        <w:rPr>
          <w:rFonts w:ascii="Times New Roman" w:hAnsi="Times New Roman" w:cs="Times New Roman"/>
        </w:rPr>
        <w:t>,</w:t>
      </w:r>
      <w:r w:rsidRPr="00826DA3">
        <w:rPr>
          <w:rFonts w:ascii="Times New Roman" w:hAnsi="Times New Roman" w:cs="Times New Roman"/>
        </w:rPr>
        <w:t xml:space="preserve"> the latest, 8 have been achieved, 9 have been achieved only partly, and 3 have not been achieved. Out of the </w:t>
      </w:r>
      <w:r w:rsidR="00211F11" w:rsidRPr="00826DA3">
        <w:rPr>
          <w:rFonts w:ascii="Times New Roman" w:hAnsi="Times New Roman" w:cs="Times New Roman"/>
        </w:rPr>
        <w:t>four</w:t>
      </w:r>
      <w:r w:rsidRPr="00826DA3">
        <w:rPr>
          <w:rFonts w:ascii="Times New Roman" w:hAnsi="Times New Roman" w:cs="Times New Roman"/>
        </w:rPr>
        <w:t xml:space="preserve"> areas of concern identified </w:t>
      </w:r>
      <w:r w:rsidR="00ED27CE" w:rsidRPr="00826DA3">
        <w:rPr>
          <w:rFonts w:ascii="Times New Roman" w:hAnsi="Times New Roman" w:cs="Times New Roman"/>
        </w:rPr>
        <w:t>about</w:t>
      </w:r>
      <w:r w:rsidRPr="00826DA3">
        <w:rPr>
          <w:rFonts w:ascii="Times New Roman" w:hAnsi="Times New Roman" w:cs="Times New Roman"/>
        </w:rPr>
        <w:t xml:space="preserve"> the operational </w:t>
      </w:r>
      <w:r w:rsidR="009E45F1" w:rsidRPr="00826DA3">
        <w:rPr>
          <w:rFonts w:ascii="Times New Roman" w:hAnsi="Times New Roman" w:cs="Times New Roman"/>
        </w:rPr>
        <w:t>program</w:t>
      </w:r>
      <w:r w:rsidR="00F46DA8" w:rsidRPr="00826DA3">
        <w:rPr>
          <w:rFonts w:ascii="Times New Roman" w:hAnsi="Times New Roman" w:cs="Times New Roman"/>
        </w:rPr>
        <w:t>me</w:t>
      </w:r>
      <w:r w:rsidR="009E45F1" w:rsidRPr="00826DA3">
        <w:rPr>
          <w:rFonts w:ascii="Times New Roman" w:hAnsi="Times New Roman" w:cs="Times New Roman"/>
        </w:rPr>
        <w:t>s</w:t>
      </w:r>
      <w:r w:rsidRPr="00826DA3">
        <w:rPr>
          <w:rFonts w:ascii="Times New Roman" w:hAnsi="Times New Roman" w:cs="Times New Roman"/>
        </w:rPr>
        <w:t xml:space="preserve"> and the Charter of Fundamental Rights, none have been addressed.</w:t>
      </w:r>
    </w:p>
  </w:footnote>
  <w:footnote w:id="116">
    <w:p w14:paraId="7F441446" w14:textId="692F31A7" w:rsidR="00812B63" w:rsidRPr="00A06821" w:rsidRDefault="00812B63"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However, regarding judicial independency, the Commission recommended Croatia to: reconsider the newly introduced periodic security checks conducted by the National Security Agency on all judges and state attorneys by ensuring their integrity based on other existing mechanisms, </w:t>
      </w:r>
      <w:r w:rsidR="006D519A" w:rsidRPr="00A06821">
        <w:rPr>
          <w:rFonts w:ascii="Times New Roman" w:hAnsi="Times New Roman" w:cs="Times New Roman"/>
        </w:rPr>
        <w:t>considering</w:t>
      </w:r>
      <w:r w:rsidRPr="00A06821">
        <w:rPr>
          <w:rFonts w:ascii="Times New Roman" w:hAnsi="Times New Roman" w:cs="Times New Roman"/>
        </w:rPr>
        <w:t xml:space="preserve"> European standards on judicial independence and autonomy of prosecutors and the opinion of the Venice Commission. Annex to COM(2022) 500 final.</w:t>
      </w:r>
    </w:p>
  </w:footnote>
  <w:footnote w:id="117">
    <w:p w14:paraId="007B5A90" w14:textId="1F886E09" w:rsidR="00E3572A" w:rsidRPr="00A06821" w:rsidRDefault="00E3572A"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Like other </w:t>
      </w:r>
      <w:r w:rsidR="00062F6C">
        <w:rPr>
          <w:rFonts w:ascii="Times New Roman" w:hAnsi="Times New Roman" w:cs="Times New Roman"/>
        </w:rPr>
        <w:t>Member States</w:t>
      </w:r>
      <w:r w:rsidRPr="00A06821">
        <w:rPr>
          <w:rFonts w:ascii="Times New Roman" w:hAnsi="Times New Roman" w:cs="Times New Roman"/>
        </w:rPr>
        <w:t xml:space="preserve"> such as Ireland, Luxembourg, Italy, </w:t>
      </w:r>
      <w:r w:rsidR="00ED27CE">
        <w:rPr>
          <w:rFonts w:ascii="Times New Roman" w:hAnsi="Times New Roman" w:cs="Times New Roman"/>
        </w:rPr>
        <w:t xml:space="preserve">and </w:t>
      </w:r>
      <w:r w:rsidRPr="00A06821">
        <w:rPr>
          <w:rFonts w:ascii="Times New Roman" w:hAnsi="Times New Roman" w:cs="Times New Roman"/>
        </w:rPr>
        <w:t>Cyprus</w:t>
      </w:r>
      <w:r w:rsidR="00330AC9" w:rsidRPr="00A06821">
        <w:rPr>
          <w:rFonts w:ascii="Times New Roman" w:hAnsi="Times New Roman" w:cs="Times New Roman"/>
        </w:rPr>
        <w:t>.</w:t>
      </w:r>
    </w:p>
  </w:footnote>
  <w:footnote w:id="118">
    <w:p w14:paraId="5189ED6A" w14:textId="5A7318DB" w:rsidR="003716CD" w:rsidRPr="00A06821" w:rsidRDefault="003716CD"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In addition to recalling the commitments made under the National Recovery and Resilience Plan relating to certain aspects of the justice system, it is recommended </w:t>
      </w:r>
      <w:r w:rsidR="00ED27CE">
        <w:rPr>
          <w:rFonts w:ascii="Times New Roman" w:hAnsi="Times New Roman" w:cs="Times New Roman"/>
        </w:rPr>
        <w:t>that</w:t>
      </w:r>
      <w:r w:rsidRPr="00A06821">
        <w:rPr>
          <w:rFonts w:ascii="Times New Roman" w:hAnsi="Times New Roman" w:cs="Times New Roman"/>
        </w:rPr>
        <w:t xml:space="preserve"> Slovenia ensure that rules on parliamentary inquiries contain adequate safeguards for </w:t>
      </w:r>
      <w:r w:rsidR="00ED27CE">
        <w:rPr>
          <w:rFonts w:ascii="Times New Roman" w:hAnsi="Times New Roman" w:cs="Times New Roman"/>
        </w:rPr>
        <w:t xml:space="preserve">the </w:t>
      </w:r>
      <w:r w:rsidRPr="00A06821">
        <w:rPr>
          <w:rFonts w:ascii="Times New Roman" w:hAnsi="Times New Roman" w:cs="Times New Roman"/>
        </w:rPr>
        <w:t xml:space="preserve">independence of judges and state prosecutors, considering European standards on judicial independence. Annex of COM(2022) 500 final, </w:t>
      </w:r>
      <w:r w:rsidRPr="00A06821">
        <w:rPr>
          <w:rFonts w:ascii="Times New Roman" w:hAnsi="Times New Roman" w:cs="Times New Roman"/>
          <w:i/>
          <w:iCs/>
        </w:rPr>
        <w:t>cit</w:t>
      </w:r>
      <w:r w:rsidRPr="00A06821">
        <w:rPr>
          <w:rFonts w:ascii="Times New Roman" w:hAnsi="Times New Roman" w:cs="Times New Roman"/>
        </w:rPr>
        <w:t>.</w:t>
      </w:r>
    </w:p>
  </w:footnote>
  <w:footnote w:id="119">
    <w:p w14:paraId="41C7F3B0" w14:textId="575577F3" w:rsidR="006B10A6" w:rsidRPr="00A06821" w:rsidRDefault="006B10A6"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In addition to recalling the commitments made under the National Recovery and Resilience Plan relating to certain aspects of the justice system, the anti-corruption framework and the</w:t>
      </w:r>
      <w:r w:rsidR="003716CD" w:rsidRPr="00A06821">
        <w:rPr>
          <w:rFonts w:ascii="Times New Roman" w:hAnsi="Times New Roman" w:cs="Times New Roman"/>
        </w:rPr>
        <w:t xml:space="preserve"> </w:t>
      </w:r>
      <w:r w:rsidRPr="00A06821">
        <w:rPr>
          <w:rFonts w:ascii="Times New Roman" w:hAnsi="Times New Roman" w:cs="Times New Roman"/>
        </w:rPr>
        <w:t>legislative process and the recommendations under the Cooperation and Verification</w:t>
      </w:r>
      <w:r w:rsidR="003716CD" w:rsidRPr="00A06821">
        <w:rPr>
          <w:rFonts w:ascii="Times New Roman" w:hAnsi="Times New Roman" w:cs="Times New Roman"/>
        </w:rPr>
        <w:t xml:space="preserve"> </w:t>
      </w:r>
      <w:r w:rsidRPr="00A06821">
        <w:rPr>
          <w:rFonts w:ascii="Times New Roman" w:hAnsi="Times New Roman" w:cs="Times New Roman"/>
        </w:rPr>
        <w:t>Mechanism, it is recommended to Romania to ensure that the revision of the Justice Laws reinforces safeguards for judicial independence, including to reform the disciplinary regime for magistrates.</w:t>
      </w:r>
      <w:r w:rsidR="008F2FF9" w:rsidRPr="00A06821">
        <w:rPr>
          <w:rFonts w:ascii="Times New Roman" w:hAnsi="Times New Roman" w:cs="Times New Roman"/>
        </w:rPr>
        <w:t xml:space="preserve"> Annex of COM(2022) 500 final, </w:t>
      </w:r>
      <w:r w:rsidR="008F2FF9" w:rsidRPr="00A06821">
        <w:rPr>
          <w:rFonts w:ascii="Times New Roman" w:hAnsi="Times New Roman" w:cs="Times New Roman"/>
          <w:i/>
          <w:iCs/>
        </w:rPr>
        <w:t>cit</w:t>
      </w:r>
      <w:r w:rsidR="008F2FF9" w:rsidRPr="00A06821">
        <w:rPr>
          <w:rFonts w:ascii="Times New Roman" w:hAnsi="Times New Roman" w:cs="Times New Roman"/>
        </w:rPr>
        <w:t>.</w:t>
      </w:r>
    </w:p>
  </w:footnote>
  <w:footnote w:id="120">
    <w:p w14:paraId="315A0D38" w14:textId="049755B1" w:rsidR="00481B76" w:rsidRPr="00A06821" w:rsidRDefault="00481B76" w:rsidP="00987497">
      <w:pPr>
        <w:pStyle w:val="Textonotapie"/>
        <w:jc w:val="both"/>
        <w:rPr>
          <w:rFonts w:ascii="Times New Roman" w:hAnsi="Times New Roman" w:cs="Times New Roman"/>
        </w:rPr>
      </w:pPr>
      <w:r w:rsidRPr="00A06821">
        <w:rPr>
          <w:rStyle w:val="Refdenotaalpie"/>
          <w:rFonts w:ascii="Times New Roman" w:hAnsi="Times New Roman" w:cs="Times New Roman"/>
        </w:rPr>
        <w:footnoteRef/>
      </w:r>
      <w:r w:rsidRPr="00A06821">
        <w:rPr>
          <w:rFonts w:ascii="Times New Roman" w:hAnsi="Times New Roman" w:cs="Times New Roman"/>
        </w:rPr>
        <w:t xml:space="preserve"> </w:t>
      </w:r>
      <w:r w:rsidR="00ED27CE">
        <w:rPr>
          <w:rFonts w:ascii="Times New Roman" w:hAnsi="Times New Roman" w:cs="Times New Roman"/>
        </w:rPr>
        <w:t>Concerning</w:t>
      </w:r>
      <w:r w:rsidRPr="00A06821">
        <w:rPr>
          <w:rFonts w:ascii="Times New Roman" w:hAnsi="Times New Roman" w:cs="Times New Roman"/>
        </w:rPr>
        <w:t xml:space="preserve"> judicial independency, the Commission recommended Bulgaria to: ensure timely ordinary competitions for promotion to avoid long-term secondment of judges to fill in vacant positions, taking into account European standards on secondment of</w:t>
      </w:r>
      <w:r w:rsidR="00CD1EC9" w:rsidRPr="00A06821">
        <w:rPr>
          <w:rFonts w:ascii="Times New Roman" w:hAnsi="Times New Roman" w:cs="Times New Roman"/>
        </w:rPr>
        <w:t xml:space="preserve"> </w:t>
      </w:r>
      <w:r w:rsidRPr="00A06821">
        <w:rPr>
          <w:rFonts w:ascii="Times New Roman" w:hAnsi="Times New Roman" w:cs="Times New Roman"/>
        </w:rPr>
        <w:t>judges</w:t>
      </w:r>
      <w:r w:rsidR="00CD1EC9" w:rsidRPr="00A06821">
        <w:rPr>
          <w:rFonts w:ascii="Times New Roman" w:hAnsi="Times New Roman" w:cs="Times New Roman"/>
        </w:rPr>
        <w:t>; a</w:t>
      </w:r>
      <w:r w:rsidRPr="00A06821">
        <w:rPr>
          <w:rFonts w:ascii="Times New Roman" w:hAnsi="Times New Roman" w:cs="Times New Roman"/>
        </w:rPr>
        <w:t>dvance with the legislative amendments aiming at improving the functioning of the</w:t>
      </w:r>
      <w:r w:rsidR="00CD1EC9" w:rsidRPr="00A06821">
        <w:rPr>
          <w:rFonts w:ascii="Times New Roman" w:hAnsi="Times New Roman" w:cs="Times New Roman"/>
        </w:rPr>
        <w:t xml:space="preserve"> </w:t>
      </w:r>
      <w:r w:rsidRPr="00A06821">
        <w:rPr>
          <w:rFonts w:ascii="Times New Roman" w:hAnsi="Times New Roman" w:cs="Times New Roman"/>
        </w:rPr>
        <w:t>Inspectorate to the Supreme Judicial Council and avoiding the risk of political influence,</w:t>
      </w:r>
      <w:r w:rsidR="00CD1EC9" w:rsidRPr="00A06821">
        <w:rPr>
          <w:rFonts w:ascii="Times New Roman" w:hAnsi="Times New Roman" w:cs="Times New Roman"/>
        </w:rPr>
        <w:t xml:space="preserve"> </w:t>
      </w:r>
      <w:r w:rsidRPr="00A06821">
        <w:rPr>
          <w:rFonts w:ascii="Times New Roman" w:hAnsi="Times New Roman" w:cs="Times New Roman"/>
        </w:rPr>
        <w:t>in particular by involving judicial bodies in the selection of its members</w:t>
      </w:r>
      <w:r w:rsidR="00CD1EC9" w:rsidRPr="00A06821">
        <w:rPr>
          <w:rFonts w:ascii="Times New Roman" w:hAnsi="Times New Roman" w:cs="Times New Roman"/>
        </w:rPr>
        <w:t>; and t</w:t>
      </w:r>
      <w:r w:rsidRPr="00A06821">
        <w:rPr>
          <w:rFonts w:ascii="Times New Roman" w:hAnsi="Times New Roman" w:cs="Times New Roman"/>
        </w:rPr>
        <w:t>ake steps to adapt the composition of the Supreme Judicial</w:t>
      </w:r>
      <w:r w:rsidR="00CD1EC9" w:rsidRPr="00A06821">
        <w:rPr>
          <w:rFonts w:ascii="Times New Roman" w:hAnsi="Times New Roman" w:cs="Times New Roman"/>
        </w:rPr>
        <w:t xml:space="preserve"> </w:t>
      </w:r>
      <w:r w:rsidRPr="00A06821">
        <w:rPr>
          <w:rFonts w:ascii="Times New Roman" w:hAnsi="Times New Roman" w:cs="Times New Roman"/>
        </w:rPr>
        <w:t>Council, taking into account</w:t>
      </w:r>
      <w:r w:rsidR="00CD1EC9" w:rsidRPr="00A06821">
        <w:rPr>
          <w:rFonts w:ascii="Times New Roman" w:hAnsi="Times New Roman" w:cs="Times New Roman"/>
        </w:rPr>
        <w:t xml:space="preserve"> </w:t>
      </w:r>
      <w:r w:rsidRPr="00A06821">
        <w:rPr>
          <w:rFonts w:ascii="Times New Roman" w:hAnsi="Times New Roman" w:cs="Times New Roman"/>
        </w:rPr>
        <w:t>European standards on Councils for the Judiciary.</w:t>
      </w:r>
      <w:r w:rsidR="00CD1EC9" w:rsidRPr="00A06821">
        <w:rPr>
          <w:rFonts w:ascii="Times New Roman" w:hAnsi="Times New Roman" w:cs="Times New Roman"/>
        </w:rPr>
        <w:t xml:space="preserve"> Annex to COM(2022) 500 final</w:t>
      </w:r>
      <w:r w:rsidR="00812B63" w:rsidRPr="00A06821">
        <w:rPr>
          <w:rFonts w:ascii="Times New Roman" w:hAnsi="Times New Roman" w:cs="Times New Roman"/>
        </w:rPr>
        <w:t xml:space="preserve">, </w:t>
      </w:r>
      <w:r w:rsidR="00812B63" w:rsidRPr="00A06821">
        <w:rPr>
          <w:rFonts w:ascii="Times New Roman" w:hAnsi="Times New Roman" w:cs="Times New Roman"/>
          <w:i/>
          <w:iCs/>
        </w:rPr>
        <w:t>cit</w:t>
      </w:r>
      <w:r w:rsidR="00CD1EC9" w:rsidRPr="00A06821">
        <w:rPr>
          <w:rFonts w:ascii="Times New Roman" w:hAnsi="Times New Roman" w:cs="Times New Roman"/>
        </w:rPr>
        <w:t>.</w:t>
      </w:r>
    </w:p>
  </w:footnote>
  <w:footnote w:id="121">
    <w:p w14:paraId="686CFF84" w14:textId="77777777" w:rsidR="00D63CA6" w:rsidRPr="00D33493" w:rsidRDefault="00D63CA6" w:rsidP="00D63CA6">
      <w:pPr>
        <w:pStyle w:val="Textonotapie"/>
        <w:jc w:val="both"/>
        <w:rPr>
          <w:rFonts w:ascii="Times New Roman" w:hAnsi="Times New Roman" w:cs="Times New Roman"/>
        </w:rPr>
      </w:pPr>
      <w:r w:rsidRPr="00D33493">
        <w:rPr>
          <w:rStyle w:val="Refdenotaalpie"/>
          <w:rFonts w:ascii="Times New Roman" w:hAnsi="Times New Roman" w:cs="Times New Roman"/>
        </w:rPr>
        <w:footnoteRef/>
      </w:r>
      <w:r w:rsidRPr="00D33493">
        <w:rPr>
          <w:rFonts w:ascii="Times New Roman" w:hAnsi="Times New Roman" w:cs="Times New Roman"/>
        </w:rPr>
        <w:t xml:space="preserve"> FREEBERG, J., </w:t>
      </w:r>
      <w:r w:rsidRPr="00D33493">
        <w:rPr>
          <w:rFonts w:ascii="Times New Roman" w:hAnsi="Times New Roman" w:cs="Times New Roman"/>
          <w:i/>
          <w:iCs/>
        </w:rPr>
        <w:t>cit</w:t>
      </w:r>
      <w:r w:rsidRPr="00D33493">
        <w:rPr>
          <w:rFonts w:ascii="Times New Roman" w:hAnsi="Times New Roman" w:cs="Times New Roman"/>
        </w:rPr>
        <w:t>.</w:t>
      </w:r>
    </w:p>
  </w:footnote>
  <w:footnote w:id="122">
    <w:p w14:paraId="38934F22" w14:textId="57AC703C" w:rsidR="00D63CA6" w:rsidRPr="00D33493" w:rsidRDefault="00D63CA6" w:rsidP="00D63CA6">
      <w:pPr>
        <w:pStyle w:val="Textonotapie"/>
        <w:jc w:val="both"/>
        <w:rPr>
          <w:rFonts w:ascii="Times New Roman" w:hAnsi="Times New Roman" w:cs="Times New Roman"/>
        </w:rPr>
      </w:pPr>
      <w:r w:rsidRPr="00D33493">
        <w:rPr>
          <w:rStyle w:val="Refdenotaalpie"/>
          <w:rFonts w:ascii="Times New Roman" w:hAnsi="Times New Roman" w:cs="Times New Roman"/>
        </w:rPr>
        <w:footnoteRef/>
      </w:r>
      <w:r w:rsidRPr="00D33493">
        <w:rPr>
          <w:rFonts w:ascii="Times New Roman" w:hAnsi="Times New Roman" w:cs="Times New Roman"/>
        </w:rPr>
        <w:t xml:space="preserve"> PECH, L. and SCHEPPELE, K., «Illiberalism Within: </w:t>
      </w:r>
      <w:r w:rsidR="00062F6C">
        <w:rPr>
          <w:rFonts w:ascii="Times New Roman" w:hAnsi="Times New Roman" w:cs="Times New Roman"/>
        </w:rPr>
        <w:t>Rule of Law</w:t>
      </w:r>
      <w:r w:rsidRPr="00D33493">
        <w:rPr>
          <w:rFonts w:ascii="Times New Roman" w:hAnsi="Times New Roman" w:cs="Times New Roman"/>
        </w:rPr>
        <w:t xml:space="preserve"> Backsliding in the EU», </w:t>
      </w:r>
      <w:r w:rsidRPr="00D33493">
        <w:rPr>
          <w:rFonts w:ascii="Times New Roman" w:hAnsi="Times New Roman" w:cs="Times New Roman"/>
          <w:i/>
          <w:iCs/>
        </w:rPr>
        <w:t>Cambridge Yearbook of European Legal Studies</w:t>
      </w:r>
      <w:r w:rsidRPr="00D33493">
        <w:rPr>
          <w:rFonts w:ascii="Times New Roman" w:hAnsi="Times New Roman" w:cs="Times New Roman"/>
        </w:rPr>
        <w:t>, 19, 2017, pp. 3-47.</w:t>
      </w:r>
    </w:p>
  </w:footnote>
  <w:footnote w:id="123">
    <w:p w14:paraId="064F9F93" w14:textId="69483963" w:rsidR="00D63CA6" w:rsidRPr="00D33493" w:rsidRDefault="00D63CA6" w:rsidP="00D63CA6">
      <w:pPr>
        <w:pStyle w:val="Textonotapie"/>
        <w:rPr>
          <w:rFonts w:ascii="Times New Roman" w:hAnsi="Times New Roman" w:cs="Times New Roman"/>
        </w:rPr>
      </w:pPr>
      <w:r w:rsidRPr="00D33493">
        <w:rPr>
          <w:rStyle w:val="Refdenotaalpie"/>
          <w:rFonts w:ascii="Times New Roman" w:hAnsi="Times New Roman" w:cs="Times New Roman"/>
        </w:rPr>
        <w:footnoteRef/>
      </w:r>
      <w:r w:rsidRPr="00D33493">
        <w:rPr>
          <w:rFonts w:ascii="Times New Roman" w:hAnsi="Times New Roman" w:cs="Times New Roman"/>
        </w:rPr>
        <w:t xml:space="preserve"> SANZ-CABALLERO, S., «Justice as the key component of the </w:t>
      </w:r>
      <w:r w:rsidR="00062F6C">
        <w:rPr>
          <w:rFonts w:ascii="Times New Roman" w:hAnsi="Times New Roman" w:cs="Times New Roman"/>
        </w:rPr>
        <w:t>Rule of Law</w:t>
      </w:r>
      <w:r w:rsidRPr="00D33493">
        <w:rPr>
          <w:rFonts w:ascii="Times New Roman" w:hAnsi="Times New Roman" w:cs="Times New Roman"/>
        </w:rPr>
        <w:t>: the state of play in Europe», Europske vrijednosti KB.indb, 61, p. 73.</w:t>
      </w:r>
    </w:p>
  </w:footnote>
  <w:footnote w:id="124">
    <w:p w14:paraId="3022295F" w14:textId="170BB5D3" w:rsidR="0028589F" w:rsidRPr="00D33493" w:rsidRDefault="0028589F">
      <w:pPr>
        <w:pStyle w:val="Textonotapie"/>
      </w:pPr>
      <w:r w:rsidRPr="00D33493">
        <w:rPr>
          <w:rStyle w:val="Refdenotaalpie"/>
          <w:rFonts w:ascii="Times New Roman" w:hAnsi="Times New Roman" w:cs="Times New Roman"/>
        </w:rPr>
        <w:footnoteRef/>
      </w:r>
      <w:r w:rsidRPr="00D33493">
        <w:rPr>
          <w:rFonts w:ascii="Times New Roman" w:hAnsi="Times New Roman" w:cs="Times New Roman"/>
        </w:rPr>
        <w:t xml:space="preserve"> EUROPEAN COM</w:t>
      </w:r>
      <w:r w:rsidR="00D33493" w:rsidRPr="00D33493">
        <w:rPr>
          <w:rFonts w:ascii="Times New Roman" w:hAnsi="Times New Roman" w:cs="Times New Roman"/>
        </w:rPr>
        <w:t xml:space="preserve">MISSION, 2024 </w:t>
      </w:r>
      <w:r w:rsidR="00062F6C">
        <w:rPr>
          <w:rFonts w:ascii="Times New Roman" w:hAnsi="Times New Roman" w:cs="Times New Roman"/>
        </w:rPr>
        <w:t>Rule of Law</w:t>
      </w:r>
      <w:r w:rsidR="00D33493" w:rsidRPr="00D33493">
        <w:rPr>
          <w:rFonts w:ascii="Times New Roman" w:hAnsi="Times New Roman" w:cs="Times New Roman"/>
        </w:rPr>
        <w:t xml:space="preserve"> Report, COM(2024) 800 final.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13EC" w14:textId="219C14BC" w:rsidR="002B1F84" w:rsidRPr="002D7F30" w:rsidRDefault="002B1F84" w:rsidP="002B1F84">
    <w:pPr>
      <w:pStyle w:val="Encabezado"/>
      <w:jc w:val="right"/>
      <w:rPr>
        <w:rFonts w:ascii="Century Gothic" w:hAnsi="Century Gothic"/>
        <w:sz w:val="16"/>
        <w:szCs w:val="16"/>
        <w:lang w:val="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67"/>
    <w:multiLevelType w:val="hybridMultilevel"/>
    <w:tmpl w:val="832EF4A4"/>
    <w:lvl w:ilvl="0" w:tplc="2F7CED98">
      <w:start w:val="2"/>
      <w:numFmt w:val="bullet"/>
      <w:lvlText w:val="-"/>
      <w:lvlJc w:val="left"/>
      <w:pPr>
        <w:ind w:left="1080" w:hanging="360"/>
      </w:pPr>
      <w:rPr>
        <w:rFonts w:ascii="Garamond" w:eastAsiaTheme="minorHAnsi"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20333"/>
    <w:multiLevelType w:val="hybridMultilevel"/>
    <w:tmpl w:val="65E6BAF4"/>
    <w:lvl w:ilvl="0" w:tplc="9892C5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C42930"/>
    <w:multiLevelType w:val="hybridMultilevel"/>
    <w:tmpl w:val="517A1FDE"/>
    <w:lvl w:ilvl="0" w:tplc="E30E1622">
      <w:start w:val="1"/>
      <w:numFmt w:val="decimal"/>
      <w:lvlText w:val="%1."/>
      <w:lvlJc w:val="left"/>
      <w:pPr>
        <w:ind w:left="720" w:hanging="360"/>
      </w:pPr>
      <w:rPr>
        <w:rFont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DC61110"/>
    <w:multiLevelType w:val="multilevel"/>
    <w:tmpl w:val="479234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8A0AB1"/>
    <w:multiLevelType w:val="hybridMultilevel"/>
    <w:tmpl w:val="2148391C"/>
    <w:lvl w:ilvl="0" w:tplc="164EF9AE">
      <w:start w:val="1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81007"/>
    <w:multiLevelType w:val="hybridMultilevel"/>
    <w:tmpl w:val="8F34683C"/>
    <w:lvl w:ilvl="0" w:tplc="AF5C0516">
      <w:start w:val="2"/>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C494E4B"/>
    <w:multiLevelType w:val="hybridMultilevel"/>
    <w:tmpl w:val="3580DB86"/>
    <w:lvl w:ilvl="0" w:tplc="5B54FE08">
      <w:start w:val="11"/>
      <w:numFmt w:val="bullet"/>
      <w:lvlText w:val="–"/>
      <w:lvlJc w:val="left"/>
      <w:pPr>
        <w:ind w:left="1080" w:hanging="360"/>
      </w:pPr>
      <w:rPr>
        <w:rFonts w:ascii="Garamond" w:eastAsiaTheme="minorHAnsi"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0448DD"/>
    <w:multiLevelType w:val="hybridMultilevel"/>
    <w:tmpl w:val="ECC626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5102D"/>
    <w:multiLevelType w:val="hybridMultilevel"/>
    <w:tmpl w:val="29A057A6"/>
    <w:lvl w:ilvl="0" w:tplc="7D7A182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76EA6"/>
    <w:multiLevelType w:val="hybridMultilevel"/>
    <w:tmpl w:val="AE9C4CB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6E7D2A"/>
    <w:multiLevelType w:val="hybridMultilevel"/>
    <w:tmpl w:val="92428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311776"/>
    <w:multiLevelType w:val="hybridMultilevel"/>
    <w:tmpl w:val="FD4040CE"/>
    <w:lvl w:ilvl="0" w:tplc="263C4450">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41B91F2C"/>
    <w:multiLevelType w:val="hybridMultilevel"/>
    <w:tmpl w:val="F566D4E4"/>
    <w:lvl w:ilvl="0" w:tplc="5E0694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9B1CA0"/>
    <w:multiLevelType w:val="hybridMultilevel"/>
    <w:tmpl w:val="5ECC3878"/>
    <w:lvl w:ilvl="0" w:tplc="A47E00A0">
      <w:start w:val="11"/>
      <w:numFmt w:val="bullet"/>
      <w:lvlText w:val="-"/>
      <w:lvlJc w:val="left"/>
      <w:pPr>
        <w:ind w:left="1080" w:hanging="360"/>
      </w:pPr>
      <w:rPr>
        <w:rFonts w:ascii="Garamond" w:eastAsiaTheme="minorHAnsi"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5040FA"/>
    <w:multiLevelType w:val="hybridMultilevel"/>
    <w:tmpl w:val="F3D0FBB6"/>
    <w:lvl w:ilvl="0" w:tplc="905C7B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6B41DD4"/>
    <w:multiLevelType w:val="hybridMultilevel"/>
    <w:tmpl w:val="6B24A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70F27"/>
    <w:multiLevelType w:val="multilevel"/>
    <w:tmpl w:val="E6DE80E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5A73921"/>
    <w:multiLevelType w:val="hybridMultilevel"/>
    <w:tmpl w:val="74E01928"/>
    <w:lvl w:ilvl="0" w:tplc="C9A67C20">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564B51F4"/>
    <w:multiLevelType w:val="hybridMultilevel"/>
    <w:tmpl w:val="B84A847A"/>
    <w:lvl w:ilvl="0" w:tplc="DD44F2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476114"/>
    <w:multiLevelType w:val="hybridMultilevel"/>
    <w:tmpl w:val="1C7C290A"/>
    <w:lvl w:ilvl="0" w:tplc="F19C96A0">
      <w:start w:val="6"/>
      <w:numFmt w:val="bullet"/>
      <w:lvlText w:val="-"/>
      <w:lvlJc w:val="left"/>
      <w:pPr>
        <w:ind w:left="720" w:hanging="360"/>
      </w:pPr>
      <w:rPr>
        <w:rFonts w:ascii="Times New Roman" w:eastAsiaTheme="minorHAnsi" w:hAnsi="Times New Roman"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6B584BB8"/>
    <w:multiLevelType w:val="hybridMultilevel"/>
    <w:tmpl w:val="3DAA0F9A"/>
    <w:lvl w:ilvl="0" w:tplc="B3D68C98">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1" w15:restartNumberingAfterBreak="0">
    <w:nsid w:val="704E3B87"/>
    <w:multiLevelType w:val="hybridMultilevel"/>
    <w:tmpl w:val="EE9461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72DC408A"/>
    <w:multiLevelType w:val="multilevel"/>
    <w:tmpl w:val="6CEA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36B3D"/>
    <w:multiLevelType w:val="hybridMultilevel"/>
    <w:tmpl w:val="70C6B462"/>
    <w:lvl w:ilvl="0" w:tplc="50CC1C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6A566A6"/>
    <w:multiLevelType w:val="hybridMultilevel"/>
    <w:tmpl w:val="66462482"/>
    <w:lvl w:ilvl="0" w:tplc="907A13C8">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701315E"/>
    <w:multiLevelType w:val="multilevel"/>
    <w:tmpl w:val="5FB4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5"/>
  </w:num>
  <w:num w:numId="4">
    <w:abstractNumId w:val="0"/>
  </w:num>
  <w:num w:numId="5">
    <w:abstractNumId w:val="13"/>
  </w:num>
  <w:num w:numId="6">
    <w:abstractNumId w:val="24"/>
  </w:num>
  <w:num w:numId="7">
    <w:abstractNumId w:val="23"/>
  </w:num>
  <w:num w:numId="8">
    <w:abstractNumId w:val="18"/>
  </w:num>
  <w:num w:numId="9">
    <w:abstractNumId w:val="12"/>
  </w:num>
  <w:num w:numId="10">
    <w:abstractNumId w:val="10"/>
  </w:num>
  <w:num w:numId="11">
    <w:abstractNumId w:val="14"/>
  </w:num>
  <w:num w:numId="12">
    <w:abstractNumId w:val="9"/>
  </w:num>
  <w:num w:numId="13">
    <w:abstractNumId w:val="1"/>
  </w:num>
  <w:num w:numId="14">
    <w:abstractNumId w:val="6"/>
  </w:num>
  <w:num w:numId="15">
    <w:abstractNumId w:val="4"/>
  </w:num>
  <w:num w:numId="16">
    <w:abstractNumId w:val="7"/>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17"/>
  </w:num>
  <w:num w:numId="22">
    <w:abstractNumId w:val="16"/>
  </w:num>
  <w:num w:numId="23">
    <w:abstractNumId w:val="19"/>
  </w:num>
  <w:num w:numId="24">
    <w:abstractNumId w:val="22"/>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wNjE0NzU1N7E0szBS0lEKTi0uzszPAymwqAUAcHBgISwAAAA="/>
  </w:docVars>
  <w:rsids>
    <w:rsidRoot w:val="00DD5A72"/>
    <w:rsid w:val="00001C19"/>
    <w:rsid w:val="00001C4C"/>
    <w:rsid w:val="0000295C"/>
    <w:rsid w:val="0000382D"/>
    <w:rsid w:val="000047F9"/>
    <w:rsid w:val="00004B0D"/>
    <w:rsid w:val="00007A71"/>
    <w:rsid w:val="000107ED"/>
    <w:rsid w:val="000113EC"/>
    <w:rsid w:val="00011711"/>
    <w:rsid w:val="00011E8C"/>
    <w:rsid w:val="0001222A"/>
    <w:rsid w:val="00012CEA"/>
    <w:rsid w:val="0001449E"/>
    <w:rsid w:val="000148F6"/>
    <w:rsid w:val="000148FF"/>
    <w:rsid w:val="0001504F"/>
    <w:rsid w:val="000154FB"/>
    <w:rsid w:val="000171DA"/>
    <w:rsid w:val="0002062E"/>
    <w:rsid w:val="00020D92"/>
    <w:rsid w:val="000214A1"/>
    <w:rsid w:val="00021D7B"/>
    <w:rsid w:val="000220B8"/>
    <w:rsid w:val="00022A25"/>
    <w:rsid w:val="00023497"/>
    <w:rsid w:val="00023D75"/>
    <w:rsid w:val="00023D7D"/>
    <w:rsid w:val="00024339"/>
    <w:rsid w:val="00024F3B"/>
    <w:rsid w:val="00025432"/>
    <w:rsid w:val="00025FC8"/>
    <w:rsid w:val="000267EA"/>
    <w:rsid w:val="00026F09"/>
    <w:rsid w:val="00026F69"/>
    <w:rsid w:val="000271E7"/>
    <w:rsid w:val="00027852"/>
    <w:rsid w:val="0003358F"/>
    <w:rsid w:val="000339F2"/>
    <w:rsid w:val="000345FD"/>
    <w:rsid w:val="00034C47"/>
    <w:rsid w:val="00034FED"/>
    <w:rsid w:val="000371BE"/>
    <w:rsid w:val="00040793"/>
    <w:rsid w:val="000416FE"/>
    <w:rsid w:val="00041752"/>
    <w:rsid w:val="000459AA"/>
    <w:rsid w:val="00046908"/>
    <w:rsid w:val="000512C9"/>
    <w:rsid w:val="0005228F"/>
    <w:rsid w:val="0005349F"/>
    <w:rsid w:val="000538BB"/>
    <w:rsid w:val="000542E9"/>
    <w:rsid w:val="00054D21"/>
    <w:rsid w:val="00054DB6"/>
    <w:rsid w:val="000553EF"/>
    <w:rsid w:val="000556CC"/>
    <w:rsid w:val="00055DC8"/>
    <w:rsid w:val="00055F23"/>
    <w:rsid w:val="00056DDD"/>
    <w:rsid w:val="00057FFE"/>
    <w:rsid w:val="000609E8"/>
    <w:rsid w:val="00060F4D"/>
    <w:rsid w:val="00061316"/>
    <w:rsid w:val="000619B6"/>
    <w:rsid w:val="00061A4C"/>
    <w:rsid w:val="00061D88"/>
    <w:rsid w:val="00062F6C"/>
    <w:rsid w:val="0006392C"/>
    <w:rsid w:val="00063BB6"/>
    <w:rsid w:val="000658CF"/>
    <w:rsid w:val="00070517"/>
    <w:rsid w:val="0007192F"/>
    <w:rsid w:val="00071EC6"/>
    <w:rsid w:val="00073DFD"/>
    <w:rsid w:val="00074636"/>
    <w:rsid w:val="00074DB6"/>
    <w:rsid w:val="00076E68"/>
    <w:rsid w:val="00077504"/>
    <w:rsid w:val="00081D66"/>
    <w:rsid w:val="0008245A"/>
    <w:rsid w:val="000826E9"/>
    <w:rsid w:val="000844EA"/>
    <w:rsid w:val="0008512B"/>
    <w:rsid w:val="00086802"/>
    <w:rsid w:val="0008712A"/>
    <w:rsid w:val="000871B1"/>
    <w:rsid w:val="00087496"/>
    <w:rsid w:val="00090149"/>
    <w:rsid w:val="00090880"/>
    <w:rsid w:val="00091DD9"/>
    <w:rsid w:val="00091E9F"/>
    <w:rsid w:val="00092DF4"/>
    <w:rsid w:val="000937D0"/>
    <w:rsid w:val="000940A8"/>
    <w:rsid w:val="0009416F"/>
    <w:rsid w:val="00094325"/>
    <w:rsid w:val="00095394"/>
    <w:rsid w:val="000954D9"/>
    <w:rsid w:val="0009593A"/>
    <w:rsid w:val="000970AE"/>
    <w:rsid w:val="00097283"/>
    <w:rsid w:val="000978E9"/>
    <w:rsid w:val="000A0400"/>
    <w:rsid w:val="000A1179"/>
    <w:rsid w:val="000A2259"/>
    <w:rsid w:val="000A2A1C"/>
    <w:rsid w:val="000A3CA4"/>
    <w:rsid w:val="000A3F09"/>
    <w:rsid w:val="000A45C3"/>
    <w:rsid w:val="000A47D3"/>
    <w:rsid w:val="000A48A2"/>
    <w:rsid w:val="000A5DFE"/>
    <w:rsid w:val="000A6177"/>
    <w:rsid w:val="000B03E5"/>
    <w:rsid w:val="000B21CA"/>
    <w:rsid w:val="000B3185"/>
    <w:rsid w:val="000B3797"/>
    <w:rsid w:val="000B42AC"/>
    <w:rsid w:val="000B44B8"/>
    <w:rsid w:val="000B4DE7"/>
    <w:rsid w:val="000B4E67"/>
    <w:rsid w:val="000B5599"/>
    <w:rsid w:val="000B581D"/>
    <w:rsid w:val="000B6FD7"/>
    <w:rsid w:val="000B73FE"/>
    <w:rsid w:val="000C0A6C"/>
    <w:rsid w:val="000C1FDC"/>
    <w:rsid w:val="000C20B9"/>
    <w:rsid w:val="000C3BB3"/>
    <w:rsid w:val="000C3CF9"/>
    <w:rsid w:val="000C3E24"/>
    <w:rsid w:val="000C41E1"/>
    <w:rsid w:val="000C5762"/>
    <w:rsid w:val="000C6914"/>
    <w:rsid w:val="000C6DEA"/>
    <w:rsid w:val="000C7B3E"/>
    <w:rsid w:val="000D0399"/>
    <w:rsid w:val="000D147B"/>
    <w:rsid w:val="000D24B1"/>
    <w:rsid w:val="000D3327"/>
    <w:rsid w:val="000D3B43"/>
    <w:rsid w:val="000D48BF"/>
    <w:rsid w:val="000D5F0E"/>
    <w:rsid w:val="000D636D"/>
    <w:rsid w:val="000D6568"/>
    <w:rsid w:val="000D6FB8"/>
    <w:rsid w:val="000D7426"/>
    <w:rsid w:val="000D7ADC"/>
    <w:rsid w:val="000D7B55"/>
    <w:rsid w:val="000E0C5E"/>
    <w:rsid w:val="000E0CE5"/>
    <w:rsid w:val="000E1870"/>
    <w:rsid w:val="000E2231"/>
    <w:rsid w:val="000E22F4"/>
    <w:rsid w:val="000E2D3F"/>
    <w:rsid w:val="000E2D5D"/>
    <w:rsid w:val="000E4342"/>
    <w:rsid w:val="000E4F09"/>
    <w:rsid w:val="000E5A58"/>
    <w:rsid w:val="000E5E48"/>
    <w:rsid w:val="000E6136"/>
    <w:rsid w:val="000E6145"/>
    <w:rsid w:val="000F51CB"/>
    <w:rsid w:val="000F58C0"/>
    <w:rsid w:val="000F5ADE"/>
    <w:rsid w:val="000F5E46"/>
    <w:rsid w:val="000F6355"/>
    <w:rsid w:val="00101356"/>
    <w:rsid w:val="001030BC"/>
    <w:rsid w:val="00103CA8"/>
    <w:rsid w:val="00103F3F"/>
    <w:rsid w:val="001041AA"/>
    <w:rsid w:val="001049B7"/>
    <w:rsid w:val="00105373"/>
    <w:rsid w:val="001055AC"/>
    <w:rsid w:val="00106536"/>
    <w:rsid w:val="00106973"/>
    <w:rsid w:val="00106D92"/>
    <w:rsid w:val="00107274"/>
    <w:rsid w:val="00110B6F"/>
    <w:rsid w:val="001111C3"/>
    <w:rsid w:val="00111494"/>
    <w:rsid w:val="001115FE"/>
    <w:rsid w:val="00112650"/>
    <w:rsid w:val="00112F8A"/>
    <w:rsid w:val="001130B8"/>
    <w:rsid w:val="00113538"/>
    <w:rsid w:val="0011542E"/>
    <w:rsid w:val="00115DC4"/>
    <w:rsid w:val="00116165"/>
    <w:rsid w:val="00116DB4"/>
    <w:rsid w:val="00117010"/>
    <w:rsid w:val="001179F2"/>
    <w:rsid w:val="00117C10"/>
    <w:rsid w:val="00117DBF"/>
    <w:rsid w:val="001201BC"/>
    <w:rsid w:val="00120D11"/>
    <w:rsid w:val="00121C89"/>
    <w:rsid w:val="00122097"/>
    <w:rsid w:val="00124955"/>
    <w:rsid w:val="001254F5"/>
    <w:rsid w:val="00125D6F"/>
    <w:rsid w:val="001306E6"/>
    <w:rsid w:val="00130BAE"/>
    <w:rsid w:val="00131042"/>
    <w:rsid w:val="001321D6"/>
    <w:rsid w:val="0013244A"/>
    <w:rsid w:val="001331B3"/>
    <w:rsid w:val="00133752"/>
    <w:rsid w:val="00134716"/>
    <w:rsid w:val="0013500B"/>
    <w:rsid w:val="0013604B"/>
    <w:rsid w:val="00136200"/>
    <w:rsid w:val="001370F5"/>
    <w:rsid w:val="001404D3"/>
    <w:rsid w:val="00140A93"/>
    <w:rsid w:val="00141227"/>
    <w:rsid w:val="00141B0E"/>
    <w:rsid w:val="0014248E"/>
    <w:rsid w:val="001429C4"/>
    <w:rsid w:val="00142EA4"/>
    <w:rsid w:val="0014371F"/>
    <w:rsid w:val="0014391A"/>
    <w:rsid w:val="0014534D"/>
    <w:rsid w:val="0014604E"/>
    <w:rsid w:val="00150306"/>
    <w:rsid w:val="0015183A"/>
    <w:rsid w:val="00151963"/>
    <w:rsid w:val="00151ABD"/>
    <w:rsid w:val="00153465"/>
    <w:rsid w:val="001537D9"/>
    <w:rsid w:val="0015447D"/>
    <w:rsid w:val="00155E63"/>
    <w:rsid w:val="0015714C"/>
    <w:rsid w:val="001601A1"/>
    <w:rsid w:val="00161594"/>
    <w:rsid w:val="001616C0"/>
    <w:rsid w:val="00161B6A"/>
    <w:rsid w:val="00162E41"/>
    <w:rsid w:val="001630D9"/>
    <w:rsid w:val="001633AF"/>
    <w:rsid w:val="001645DC"/>
    <w:rsid w:val="00164C3B"/>
    <w:rsid w:val="0016587F"/>
    <w:rsid w:val="00165E6A"/>
    <w:rsid w:val="001668C2"/>
    <w:rsid w:val="00167EA4"/>
    <w:rsid w:val="0017007D"/>
    <w:rsid w:val="00170BF8"/>
    <w:rsid w:val="00173AF8"/>
    <w:rsid w:val="00173EA7"/>
    <w:rsid w:val="00174DC5"/>
    <w:rsid w:val="001764CD"/>
    <w:rsid w:val="00176CC5"/>
    <w:rsid w:val="0017736B"/>
    <w:rsid w:val="00177702"/>
    <w:rsid w:val="00177880"/>
    <w:rsid w:val="0018042C"/>
    <w:rsid w:val="00181265"/>
    <w:rsid w:val="0018179D"/>
    <w:rsid w:val="0018190B"/>
    <w:rsid w:val="00182383"/>
    <w:rsid w:val="00182C6F"/>
    <w:rsid w:val="00183342"/>
    <w:rsid w:val="00183D00"/>
    <w:rsid w:val="00183F1F"/>
    <w:rsid w:val="00185309"/>
    <w:rsid w:val="00187CCE"/>
    <w:rsid w:val="001901B4"/>
    <w:rsid w:val="00190C34"/>
    <w:rsid w:val="00193DD2"/>
    <w:rsid w:val="00194C57"/>
    <w:rsid w:val="00195055"/>
    <w:rsid w:val="00196248"/>
    <w:rsid w:val="001965F8"/>
    <w:rsid w:val="00196A71"/>
    <w:rsid w:val="001A00E5"/>
    <w:rsid w:val="001A0C94"/>
    <w:rsid w:val="001A17A6"/>
    <w:rsid w:val="001A1801"/>
    <w:rsid w:val="001A2710"/>
    <w:rsid w:val="001A3689"/>
    <w:rsid w:val="001A4446"/>
    <w:rsid w:val="001A4717"/>
    <w:rsid w:val="001A4AA4"/>
    <w:rsid w:val="001A54D5"/>
    <w:rsid w:val="001A5529"/>
    <w:rsid w:val="001A627F"/>
    <w:rsid w:val="001A742A"/>
    <w:rsid w:val="001A7FAA"/>
    <w:rsid w:val="001B07D2"/>
    <w:rsid w:val="001B1CD4"/>
    <w:rsid w:val="001B42CE"/>
    <w:rsid w:val="001B4797"/>
    <w:rsid w:val="001B67FE"/>
    <w:rsid w:val="001B6963"/>
    <w:rsid w:val="001B6EEA"/>
    <w:rsid w:val="001B77D5"/>
    <w:rsid w:val="001B77F9"/>
    <w:rsid w:val="001B7F56"/>
    <w:rsid w:val="001C0156"/>
    <w:rsid w:val="001C0973"/>
    <w:rsid w:val="001C141B"/>
    <w:rsid w:val="001C1EF2"/>
    <w:rsid w:val="001C21EE"/>
    <w:rsid w:val="001C28B1"/>
    <w:rsid w:val="001C363B"/>
    <w:rsid w:val="001C5226"/>
    <w:rsid w:val="001C76CE"/>
    <w:rsid w:val="001C7E1C"/>
    <w:rsid w:val="001D040C"/>
    <w:rsid w:val="001D08F8"/>
    <w:rsid w:val="001D0F68"/>
    <w:rsid w:val="001D124D"/>
    <w:rsid w:val="001D12B5"/>
    <w:rsid w:val="001D13C7"/>
    <w:rsid w:val="001D1716"/>
    <w:rsid w:val="001D1D38"/>
    <w:rsid w:val="001D2105"/>
    <w:rsid w:val="001D25C6"/>
    <w:rsid w:val="001D383A"/>
    <w:rsid w:val="001D4C8E"/>
    <w:rsid w:val="001D579A"/>
    <w:rsid w:val="001D7932"/>
    <w:rsid w:val="001E015A"/>
    <w:rsid w:val="001E0BF5"/>
    <w:rsid w:val="001E1357"/>
    <w:rsid w:val="001E14BD"/>
    <w:rsid w:val="001E26A6"/>
    <w:rsid w:val="001E5061"/>
    <w:rsid w:val="001E61FF"/>
    <w:rsid w:val="001F1564"/>
    <w:rsid w:val="001F1932"/>
    <w:rsid w:val="001F1D95"/>
    <w:rsid w:val="001F3406"/>
    <w:rsid w:val="001F636B"/>
    <w:rsid w:val="001F66CE"/>
    <w:rsid w:val="001F6CD0"/>
    <w:rsid w:val="001F715E"/>
    <w:rsid w:val="001F7393"/>
    <w:rsid w:val="001F7FD0"/>
    <w:rsid w:val="00200DA6"/>
    <w:rsid w:val="00201DE4"/>
    <w:rsid w:val="0020229D"/>
    <w:rsid w:val="00206736"/>
    <w:rsid w:val="00207002"/>
    <w:rsid w:val="0020702F"/>
    <w:rsid w:val="0020731D"/>
    <w:rsid w:val="0020750B"/>
    <w:rsid w:val="0021006D"/>
    <w:rsid w:val="00211559"/>
    <w:rsid w:val="00211829"/>
    <w:rsid w:val="00211AC6"/>
    <w:rsid w:val="00211F11"/>
    <w:rsid w:val="0021394D"/>
    <w:rsid w:val="002146B0"/>
    <w:rsid w:val="00215805"/>
    <w:rsid w:val="0021697B"/>
    <w:rsid w:val="00216E24"/>
    <w:rsid w:val="00216E2B"/>
    <w:rsid w:val="00216F15"/>
    <w:rsid w:val="00216FE3"/>
    <w:rsid w:val="00220F01"/>
    <w:rsid w:val="00221604"/>
    <w:rsid w:val="00223100"/>
    <w:rsid w:val="002239A1"/>
    <w:rsid w:val="00223FC0"/>
    <w:rsid w:val="00224A61"/>
    <w:rsid w:val="00224B2E"/>
    <w:rsid w:val="00225220"/>
    <w:rsid w:val="002254B8"/>
    <w:rsid w:val="00227A4C"/>
    <w:rsid w:val="002307FB"/>
    <w:rsid w:val="002311C1"/>
    <w:rsid w:val="00232817"/>
    <w:rsid w:val="00232B49"/>
    <w:rsid w:val="00233AAD"/>
    <w:rsid w:val="002350E4"/>
    <w:rsid w:val="00235180"/>
    <w:rsid w:val="0023759A"/>
    <w:rsid w:val="0024086E"/>
    <w:rsid w:val="00241E3F"/>
    <w:rsid w:val="00241E86"/>
    <w:rsid w:val="00242466"/>
    <w:rsid w:val="002427AD"/>
    <w:rsid w:val="00243DCD"/>
    <w:rsid w:val="0024410D"/>
    <w:rsid w:val="002446E8"/>
    <w:rsid w:val="00245DFC"/>
    <w:rsid w:val="00247114"/>
    <w:rsid w:val="00247968"/>
    <w:rsid w:val="00247E31"/>
    <w:rsid w:val="00247EA1"/>
    <w:rsid w:val="002527DC"/>
    <w:rsid w:val="00252F76"/>
    <w:rsid w:val="002535B9"/>
    <w:rsid w:val="00253805"/>
    <w:rsid w:val="00253C2F"/>
    <w:rsid w:val="00254E70"/>
    <w:rsid w:val="00254F14"/>
    <w:rsid w:val="002564EA"/>
    <w:rsid w:val="00256EEE"/>
    <w:rsid w:val="00256F3A"/>
    <w:rsid w:val="00256FEC"/>
    <w:rsid w:val="00260CB8"/>
    <w:rsid w:val="00262CE1"/>
    <w:rsid w:val="00263335"/>
    <w:rsid w:val="002646FC"/>
    <w:rsid w:val="00265AA9"/>
    <w:rsid w:val="00266B54"/>
    <w:rsid w:val="00270F54"/>
    <w:rsid w:val="0027129B"/>
    <w:rsid w:val="002720AB"/>
    <w:rsid w:val="00272B8F"/>
    <w:rsid w:val="002730F6"/>
    <w:rsid w:val="00273CC2"/>
    <w:rsid w:val="00273E0A"/>
    <w:rsid w:val="002746C4"/>
    <w:rsid w:val="00274A74"/>
    <w:rsid w:val="00274CE5"/>
    <w:rsid w:val="00275751"/>
    <w:rsid w:val="00276186"/>
    <w:rsid w:val="00276868"/>
    <w:rsid w:val="00276FC9"/>
    <w:rsid w:val="00277268"/>
    <w:rsid w:val="0027781B"/>
    <w:rsid w:val="00277C89"/>
    <w:rsid w:val="002802C4"/>
    <w:rsid w:val="00280BE1"/>
    <w:rsid w:val="002810D3"/>
    <w:rsid w:val="002822B5"/>
    <w:rsid w:val="00283E6C"/>
    <w:rsid w:val="002847C9"/>
    <w:rsid w:val="00285524"/>
    <w:rsid w:val="0028589F"/>
    <w:rsid w:val="00285C40"/>
    <w:rsid w:val="00286896"/>
    <w:rsid w:val="00287BB8"/>
    <w:rsid w:val="00287BCF"/>
    <w:rsid w:val="002907BA"/>
    <w:rsid w:val="00290987"/>
    <w:rsid w:val="00290A1E"/>
    <w:rsid w:val="00291F1A"/>
    <w:rsid w:val="00292263"/>
    <w:rsid w:val="00292A0F"/>
    <w:rsid w:val="002930A0"/>
    <w:rsid w:val="00293336"/>
    <w:rsid w:val="002940C5"/>
    <w:rsid w:val="00295228"/>
    <w:rsid w:val="002971F9"/>
    <w:rsid w:val="002A0DFA"/>
    <w:rsid w:val="002A3456"/>
    <w:rsid w:val="002A40CF"/>
    <w:rsid w:val="002A573E"/>
    <w:rsid w:val="002A5DBC"/>
    <w:rsid w:val="002A6277"/>
    <w:rsid w:val="002A668F"/>
    <w:rsid w:val="002A6A62"/>
    <w:rsid w:val="002A6E24"/>
    <w:rsid w:val="002A77DE"/>
    <w:rsid w:val="002A7C6D"/>
    <w:rsid w:val="002B1F84"/>
    <w:rsid w:val="002B2391"/>
    <w:rsid w:val="002B3406"/>
    <w:rsid w:val="002B3918"/>
    <w:rsid w:val="002B46EE"/>
    <w:rsid w:val="002B7611"/>
    <w:rsid w:val="002C0F39"/>
    <w:rsid w:val="002C119B"/>
    <w:rsid w:val="002C1B60"/>
    <w:rsid w:val="002C1BE8"/>
    <w:rsid w:val="002C2FB1"/>
    <w:rsid w:val="002C3B81"/>
    <w:rsid w:val="002C4679"/>
    <w:rsid w:val="002C5033"/>
    <w:rsid w:val="002C5965"/>
    <w:rsid w:val="002C6149"/>
    <w:rsid w:val="002D0202"/>
    <w:rsid w:val="002D042D"/>
    <w:rsid w:val="002D1B5F"/>
    <w:rsid w:val="002D2083"/>
    <w:rsid w:val="002D208F"/>
    <w:rsid w:val="002D3377"/>
    <w:rsid w:val="002D4972"/>
    <w:rsid w:val="002D6201"/>
    <w:rsid w:val="002D62BB"/>
    <w:rsid w:val="002D66AA"/>
    <w:rsid w:val="002D73ED"/>
    <w:rsid w:val="002D778A"/>
    <w:rsid w:val="002D7EAA"/>
    <w:rsid w:val="002D7F30"/>
    <w:rsid w:val="002E005C"/>
    <w:rsid w:val="002E1EB1"/>
    <w:rsid w:val="002E1FFB"/>
    <w:rsid w:val="002E2850"/>
    <w:rsid w:val="002E2A53"/>
    <w:rsid w:val="002E2DEE"/>
    <w:rsid w:val="002E40CA"/>
    <w:rsid w:val="002E4F85"/>
    <w:rsid w:val="002E53F5"/>
    <w:rsid w:val="002E554B"/>
    <w:rsid w:val="002E5787"/>
    <w:rsid w:val="002E5AF1"/>
    <w:rsid w:val="002E5B0B"/>
    <w:rsid w:val="002F3133"/>
    <w:rsid w:val="002F4469"/>
    <w:rsid w:val="002F510D"/>
    <w:rsid w:val="002F5AD2"/>
    <w:rsid w:val="002F7988"/>
    <w:rsid w:val="00301325"/>
    <w:rsid w:val="003021E0"/>
    <w:rsid w:val="00302773"/>
    <w:rsid w:val="00305A13"/>
    <w:rsid w:val="00307F0B"/>
    <w:rsid w:val="003104BA"/>
    <w:rsid w:val="00310E55"/>
    <w:rsid w:val="003119F3"/>
    <w:rsid w:val="0031265A"/>
    <w:rsid w:val="003126B1"/>
    <w:rsid w:val="003126BD"/>
    <w:rsid w:val="003142C6"/>
    <w:rsid w:val="003162FA"/>
    <w:rsid w:val="00316332"/>
    <w:rsid w:val="0031653A"/>
    <w:rsid w:val="00316B59"/>
    <w:rsid w:val="00316E5D"/>
    <w:rsid w:val="00320A87"/>
    <w:rsid w:val="003232F6"/>
    <w:rsid w:val="0032365F"/>
    <w:rsid w:val="00323DF2"/>
    <w:rsid w:val="00324E3E"/>
    <w:rsid w:val="0032611E"/>
    <w:rsid w:val="00330015"/>
    <w:rsid w:val="0033081D"/>
    <w:rsid w:val="00330AC9"/>
    <w:rsid w:val="00335044"/>
    <w:rsid w:val="00336567"/>
    <w:rsid w:val="00336A7B"/>
    <w:rsid w:val="003404E0"/>
    <w:rsid w:val="00340A29"/>
    <w:rsid w:val="0034134F"/>
    <w:rsid w:val="003414ED"/>
    <w:rsid w:val="003429B8"/>
    <w:rsid w:val="00342C6D"/>
    <w:rsid w:val="00342FB8"/>
    <w:rsid w:val="00343CE2"/>
    <w:rsid w:val="00344240"/>
    <w:rsid w:val="00344A83"/>
    <w:rsid w:val="003454A5"/>
    <w:rsid w:val="003458BB"/>
    <w:rsid w:val="0034600B"/>
    <w:rsid w:val="00346018"/>
    <w:rsid w:val="00347209"/>
    <w:rsid w:val="00350B48"/>
    <w:rsid w:val="00351AEA"/>
    <w:rsid w:val="00352D1E"/>
    <w:rsid w:val="003543A7"/>
    <w:rsid w:val="003544C5"/>
    <w:rsid w:val="0035532C"/>
    <w:rsid w:val="00355DF2"/>
    <w:rsid w:val="00356312"/>
    <w:rsid w:val="003616AC"/>
    <w:rsid w:val="003622E7"/>
    <w:rsid w:val="003631A9"/>
    <w:rsid w:val="00363EE0"/>
    <w:rsid w:val="00364267"/>
    <w:rsid w:val="00365691"/>
    <w:rsid w:val="00367526"/>
    <w:rsid w:val="003677D0"/>
    <w:rsid w:val="0037051A"/>
    <w:rsid w:val="003716CD"/>
    <w:rsid w:val="00372034"/>
    <w:rsid w:val="003725C0"/>
    <w:rsid w:val="00373731"/>
    <w:rsid w:val="00374DEB"/>
    <w:rsid w:val="00375579"/>
    <w:rsid w:val="00375770"/>
    <w:rsid w:val="00375B0D"/>
    <w:rsid w:val="0037630F"/>
    <w:rsid w:val="00377AC1"/>
    <w:rsid w:val="00377C71"/>
    <w:rsid w:val="00380597"/>
    <w:rsid w:val="003805A6"/>
    <w:rsid w:val="003806E2"/>
    <w:rsid w:val="0038072B"/>
    <w:rsid w:val="00381B2C"/>
    <w:rsid w:val="00382B9F"/>
    <w:rsid w:val="003840E4"/>
    <w:rsid w:val="00385D58"/>
    <w:rsid w:val="00385ED8"/>
    <w:rsid w:val="0038631C"/>
    <w:rsid w:val="00386A3E"/>
    <w:rsid w:val="00387CE9"/>
    <w:rsid w:val="003903CC"/>
    <w:rsid w:val="00390605"/>
    <w:rsid w:val="003907D3"/>
    <w:rsid w:val="003913E8"/>
    <w:rsid w:val="0039404A"/>
    <w:rsid w:val="00394078"/>
    <w:rsid w:val="003940E6"/>
    <w:rsid w:val="00394643"/>
    <w:rsid w:val="003948F2"/>
    <w:rsid w:val="003957C1"/>
    <w:rsid w:val="00397094"/>
    <w:rsid w:val="00397F21"/>
    <w:rsid w:val="003A1276"/>
    <w:rsid w:val="003A3105"/>
    <w:rsid w:val="003A34E0"/>
    <w:rsid w:val="003A4CEA"/>
    <w:rsid w:val="003A523D"/>
    <w:rsid w:val="003A547E"/>
    <w:rsid w:val="003A5607"/>
    <w:rsid w:val="003A58DF"/>
    <w:rsid w:val="003A5CB4"/>
    <w:rsid w:val="003A69EA"/>
    <w:rsid w:val="003A7A3B"/>
    <w:rsid w:val="003B0148"/>
    <w:rsid w:val="003B1423"/>
    <w:rsid w:val="003B184E"/>
    <w:rsid w:val="003B31F3"/>
    <w:rsid w:val="003B3515"/>
    <w:rsid w:val="003B50DE"/>
    <w:rsid w:val="003B573C"/>
    <w:rsid w:val="003B5D4D"/>
    <w:rsid w:val="003B601D"/>
    <w:rsid w:val="003B61C1"/>
    <w:rsid w:val="003B6FA5"/>
    <w:rsid w:val="003B74A0"/>
    <w:rsid w:val="003B7B3F"/>
    <w:rsid w:val="003B7CC4"/>
    <w:rsid w:val="003C036A"/>
    <w:rsid w:val="003C155A"/>
    <w:rsid w:val="003C29F7"/>
    <w:rsid w:val="003C4579"/>
    <w:rsid w:val="003C46FD"/>
    <w:rsid w:val="003C4A50"/>
    <w:rsid w:val="003C52E5"/>
    <w:rsid w:val="003C54BB"/>
    <w:rsid w:val="003C5D72"/>
    <w:rsid w:val="003C7BA3"/>
    <w:rsid w:val="003D05A9"/>
    <w:rsid w:val="003D12B3"/>
    <w:rsid w:val="003D133C"/>
    <w:rsid w:val="003D14CB"/>
    <w:rsid w:val="003D17AE"/>
    <w:rsid w:val="003D36F8"/>
    <w:rsid w:val="003D4076"/>
    <w:rsid w:val="003D4595"/>
    <w:rsid w:val="003D57BD"/>
    <w:rsid w:val="003D72D6"/>
    <w:rsid w:val="003D7437"/>
    <w:rsid w:val="003D7D9B"/>
    <w:rsid w:val="003E0A17"/>
    <w:rsid w:val="003E11C6"/>
    <w:rsid w:val="003E1F09"/>
    <w:rsid w:val="003E27B1"/>
    <w:rsid w:val="003E3E26"/>
    <w:rsid w:val="003E4411"/>
    <w:rsid w:val="003E4C29"/>
    <w:rsid w:val="003E4CF3"/>
    <w:rsid w:val="003E50FF"/>
    <w:rsid w:val="003E5D96"/>
    <w:rsid w:val="003E65C7"/>
    <w:rsid w:val="003E6BEB"/>
    <w:rsid w:val="003E6E0C"/>
    <w:rsid w:val="003E758D"/>
    <w:rsid w:val="003F0F50"/>
    <w:rsid w:val="003F162D"/>
    <w:rsid w:val="003F1EFE"/>
    <w:rsid w:val="003F28E6"/>
    <w:rsid w:val="003F44B1"/>
    <w:rsid w:val="003F5B18"/>
    <w:rsid w:val="003F5E4F"/>
    <w:rsid w:val="003F5ED4"/>
    <w:rsid w:val="003F64C4"/>
    <w:rsid w:val="003F7689"/>
    <w:rsid w:val="003F7833"/>
    <w:rsid w:val="003F7AB7"/>
    <w:rsid w:val="004009BB"/>
    <w:rsid w:val="00403E6A"/>
    <w:rsid w:val="004047BF"/>
    <w:rsid w:val="0040602B"/>
    <w:rsid w:val="00406206"/>
    <w:rsid w:val="0040657F"/>
    <w:rsid w:val="00407120"/>
    <w:rsid w:val="00407296"/>
    <w:rsid w:val="00407E2D"/>
    <w:rsid w:val="0041117B"/>
    <w:rsid w:val="004115F9"/>
    <w:rsid w:val="00412977"/>
    <w:rsid w:val="00412EE4"/>
    <w:rsid w:val="00413B68"/>
    <w:rsid w:val="004140B3"/>
    <w:rsid w:val="004148FA"/>
    <w:rsid w:val="00415598"/>
    <w:rsid w:val="00415AFC"/>
    <w:rsid w:val="00415D3D"/>
    <w:rsid w:val="00415D85"/>
    <w:rsid w:val="00420EDB"/>
    <w:rsid w:val="00422B7A"/>
    <w:rsid w:val="00423E4C"/>
    <w:rsid w:val="00425053"/>
    <w:rsid w:val="00425BDC"/>
    <w:rsid w:val="00425FC8"/>
    <w:rsid w:val="00426087"/>
    <w:rsid w:val="00426652"/>
    <w:rsid w:val="00426976"/>
    <w:rsid w:val="00426B43"/>
    <w:rsid w:val="00426D0D"/>
    <w:rsid w:val="00427F56"/>
    <w:rsid w:val="0043121A"/>
    <w:rsid w:val="00431429"/>
    <w:rsid w:val="00432433"/>
    <w:rsid w:val="004327AF"/>
    <w:rsid w:val="004330AA"/>
    <w:rsid w:val="00435B7E"/>
    <w:rsid w:val="00436366"/>
    <w:rsid w:val="00437E01"/>
    <w:rsid w:val="004403D6"/>
    <w:rsid w:val="0044060D"/>
    <w:rsid w:val="00441817"/>
    <w:rsid w:val="00441BC3"/>
    <w:rsid w:val="00441DEC"/>
    <w:rsid w:val="00442321"/>
    <w:rsid w:val="00443874"/>
    <w:rsid w:val="004479B0"/>
    <w:rsid w:val="004507F8"/>
    <w:rsid w:val="0045371E"/>
    <w:rsid w:val="004540BD"/>
    <w:rsid w:val="00454D70"/>
    <w:rsid w:val="00455074"/>
    <w:rsid w:val="00455B15"/>
    <w:rsid w:val="00457107"/>
    <w:rsid w:val="00457C63"/>
    <w:rsid w:val="0046248F"/>
    <w:rsid w:val="004626A3"/>
    <w:rsid w:val="00462F88"/>
    <w:rsid w:val="00464625"/>
    <w:rsid w:val="00464ABB"/>
    <w:rsid w:val="00466CEA"/>
    <w:rsid w:val="00466EF6"/>
    <w:rsid w:val="00470CA4"/>
    <w:rsid w:val="00471006"/>
    <w:rsid w:val="0047147D"/>
    <w:rsid w:val="004717DC"/>
    <w:rsid w:val="004730AD"/>
    <w:rsid w:val="004736CA"/>
    <w:rsid w:val="004741BE"/>
    <w:rsid w:val="00475564"/>
    <w:rsid w:val="00476C42"/>
    <w:rsid w:val="00476D98"/>
    <w:rsid w:val="004778D1"/>
    <w:rsid w:val="0048001D"/>
    <w:rsid w:val="00480316"/>
    <w:rsid w:val="0048090C"/>
    <w:rsid w:val="004816AC"/>
    <w:rsid w:val="004818F3"/>
    <w:rsid w:val="00481B54"/>
    <w:rsid w:val="00481B76"/>
    <w:rsid w:val="004849F9"/>
    <w:rsid w:val="00486910"/>
    <w:rsid w:val="00486BEB"/>
    <w:rsid w:val="00486F86"/>
    <w:rsid w:val="004875CF"/>
    <w:rsid w:val="00487E4B"/>
    <w:rsid w:val="00490945"/>
    <w:rsid w:val="0049094C"/>
    <w:rsid w:val="00490DF4"/>
    <w:rsid w:val="00491103"/>
    <w:rsid w:val="004925D5"/>
    <w:rsid w:val="00492FC7"/>
    <w:rsid w:val="00494137"/>
    <w:rsid w:val="0049437A"/>
    <w:rsid w:val="0049567B"/>
    <w:rsid w:val="004956D6"/>
    <w:rsid w:val="00495E88"/>
    <w:rsid w:val="00496F58"/>
    <w:rsid w:val="00497244"/>
    <w:rsid w:val="00497AD5"/>
    <w:rsid w:val="004A0735"/>
    <w:rsid w:val="004A0B33"/>
    <w:rsid w:val="004A1C2D"/>
    <w:rsid w:val="004A23AA"/>
    <w:rsid w:val="004A2ED5"/>
    <w:rsid w:val="004A3271"/>
    <w:rsid w:val="004A3C4E"/>
    <w:rsid w:val="004A3D17"/>
    <w:rsid w:val="004A400D"/>
    <w:rsid w:val="004A4A6A"/>
    <w:rsid w:val="004A4EE8"/>
    <w:rsid w:val="004A6C92"/>
    <w:rsid w:val="004A733E"/>
    <w:rsid w:val="004B02B9"/>
    <w:rsid w:val="004B0F8E"/>
    <w:rsid w:val="004B1F9C"/>
    <w:rsid w:val="004B3CEB"/>
    <w:rsid w:val="004B4011"/>
    <w:rsid w:val="004B4216"/>
    <w:rsid w:val="004B471A"/>
    <w:rsid w:val="004B4DA1"/>
    <w:rsid w:val="004B5043"/>
    <w:rsid w:val="004B6137"/>
    <w:rsid w:val="004B72C2"/>
    <w:rsid w:val="004B7652"/>
    <w:rsid w:val="004C0D8D"/>
    <w:rsid w:val="004C16F4"/>
    <w:rsid w:val="004C1B2B"/>
    <w:rsid w:val="004C3102"/>
    <w:rsid w:val="004C4704"/>
    <w:rsid w:val="004C4CA8"/>
    <w:rsid w:val="004C545F"/>
    <w:rsid w:val="004C55DC"/>
    <w:rsid w:val="004C637A"/>
    <w:rsid w:val="004C705E"/>
    <w:rsid w:val="004C7C2D"/>
    <w:rsid w:val="004D08B7"/>
    <w:rsid w:val="004D0D7C"/>
    <w:rsid w:val="004D1884"/>
    <w:rsid w:val="004D3497"/>
    <w:rsid w:val="004D37CC"/>
    <w:rsid w:val="004D3C73"/>
    <w:rsid w:val="004D40A4"/>
    <w:rsid w:val="004D4FEC"/>
    <w:rsid w:val="004D548A"/>
    <w:rsid w:val="004E08EA"/>
    <w:rsid w:val="004E288B"/>
    <w:rsid w:val="004E297F"/>
    <w:rsid w:val="004E2E14"/>
    <w:rsid w:val="004E3058"/>
    <w:rsid w:val="004E3CF0"/>
    <w:rsid w:val="004E4B87"/>
    <w:rsid w:val="004E5CDE"/>
    <w:rsid w:val="004E6C8E"/>
    <w:rsid w:val="004F0472"/>
    <w:rsid w:val="004F12B1"/>
    <w:rsid w:val="004F1563"/>
    <w:rsid w:val="004F42F5"/>
    <w:rsid w:val="004F580A"/>
    <w:rsid w:val="004F5F01"/>
    <w:rsid w:val="004F6FE4"/>
    <w:rsid w:val="00500DFD"/>
    <w:rsid w:val="005013CF"/>
    <w:rsid w:val="00501405"/>
    <w:rsid w:val="0050184A"/>
    <w:rsid w:val="005020CB"/>
    <w:rsid w:val="00503EA5"/>
    <w:rsid w:val="005046D0"/>
    <w:rsid w:val="005046DF"/>
    <w:rsid w:val="00504867"/>
    <w:rsid w:val="005054BE"/>
    <w:rsid w:val="0050561B"/>
    <w:rsid w:val="00505726"/>
    <w:rsid w:val="00505B8F"/>
    <w:rsid w:val="00506858"/>
    <w:rsid w:val="00506B40"/>
    <w:rsid w:val="0050721D"/>
    <w:rsid w:val="00507DB2"/>
    <w:rsid w:val="00507F18"/>
    <w:rsid w:val="00510528"/>
    <w:rsid w:val="00511EC6"/>
    <w:rsid w:val="0051203E"/>
    <w:rsid w:val="0051214D"/>
    <w:rsid w:val="00512778"/>
    <w:rsid w:val="00512ED1"/>
    <w:rsid w:val="00514F64"/>
    <w:rsid w:val="00515F96"/>
    <w:rsid w:val="00516368"/>
    <w:rsid w:val="00516A29"/>
    <w:rsid w:val="00516B3C"/>
    <w:rsid w:val="005224FE"/>
    <w:rsid w:val="005227C7"/>
    <w:rsid w:val="00524DE6"/>
    <w:rsid w:val="005262B3"/>
    <w:rsid w:val="00526544"/>
    <w:rsid w:val="00526E81"/>
    <w:rsid w:val="0052798D"/>
    <w:rsid w:val="00530DCA"/>
    <w:rsid w:val="00531C8A"/>
    <w:rsid w:val="005328C4"/>
    <w:rsid w:val="00533855"/>
    <w:rsid w:val="00534237"/>
    <w:rsid w:val="00534675"/>
    <w:rsid w:val="00534DE0"/>
    <w:rsid w:val="005354D1"/>
    <w:rsid w:val="005363BC"/>
    <w:rsid w:val="00536819"/>
    <w:rsid w:val="005373B6"/>
    <w:rsid w:val="00537E2C"/>
    <w:rsid w:val="00542E43"/>
    <w:rsid w:val="005438FB"/>
    <w:rsid w:val="00543A4D"/>
    <w:rsid w:val="0054515F"/>
    <w:rsid w:val="0054531C"/>
    <w:rsid w:val="00545616"/>
    <w:rsid w:val="00545852"/>
    <w:rsid w:val="00545EFE"/>
    <w:rsid w:val="00545FD3"/>
    <w:rsid w:val="005463F8"/>
    <w:rsid w:val="00546752"/>
    <w:rsid w:val="00546B1E"/>
    <w:rsid w:val="00546B9D"/>
    <w:rsid w:val="00547182"/>
    <w:rsid w:val="00550211"/>
    <w:rsid w:val="00550E51"/>
    <w:rsid w:val="00551A11"/>
    <w:rsid w:val="00553801"/>
    <w:rsid w:val="00554937"/>
    <w:rsid w:val="00554A5A"/>
    <w:rsid w:val="00554F50"/>
    <w:rsid w:val="00555348"/>
    <w:rsid w:val="005555E0"/>
    <w:rsid w:val="00556A82"/>
    <w:rsid w:val="00556BEA"/>
    <w:rsid w:val="00556FAA"/>
    <w:rsid w:val="00557477"/>
    <w:rsid w:val="005577D1"/>
    <w:rsid w:val="00560A56"/>
    <w:rsid w:val="0056198E"/>
    <w:rsid w:val="00562688"/>
    <w:rsid w:val="005629B3"/>
    <w:rsid w:val="00563F29"/>
    <w:rsid w:val="00564214"/>
    <w:rsid w:val="00564A48"/>
    <w:rsid w:val="0056676D"/>
    <w:rsid w:val="00566A3C"/>
    <w:rsid w:val="00566B4E"/>
    <w:rsid w:val="00566BFF"/>
    <w:rsid w:val="00566CE6"/>
    <w:rsid w:val="00567E90"/>
    <w:rsid w:val="005719C3"/>
    <w:rsid w:val="00571A74"/>
    <w:rsid w:val="00572223"/>
    <w:rsid w:val="005737DA"/>
    <w:rsid w:val="00573E6D"/>
    <w:rsid w:val="00574423"/>
    <w:rsid w:val="00574537"/>
    <w:rsid w:val="005745F0"/>
    <w:rsid w:val="005758D4"/>
    <w:rsid w:val="00575B8D"/>
    <w:rsid w:val="005764ED"/>
    <w:rsid w:val="00576630"/>
    <w:rsid w:val="00576693"/>
    <w:rsid w:val="00577163"/>
    <w:rsid w:val="00577459"/>
    <w:rsid w:val="005774CF"/>
    <w:rsid w:val="005777AD"/>
    <w:rsid w:val="00577B49"/>
    <w:rsid w:val="0058048A"/>
    <w:rsid w:val="0058057A"/>
    <w:rsid w:val="005810FB"/>
    <w:rsid w:val="00581259"/>
    <w:rsid w:val="00581381"/>
    <w:rsid w:val="00581751"/>
    <w:rsid w:val="0058204D"/>
    <w:rsid w:val="00582242"/>
    <w:rsid w:val="00582B15"/>
    <w:rsid w:val="00582B99"/>
    <w:rsid w:val="005846AF"/>
    <w:rsid w:val="00584C03"/>
    <w:rsid w:val="00585B41"/>
    <w:rsid w:val="00586432"/>
    <w:rsid w:val="00586D55"/>
    <w:rsid w:val="00590A79"/>
    <w:rsid w:val="00590D1E"/>
    <w:rsid w:val="0059349D"/>
    <w:rsid w:val="005939A6"/>
    <w:rsid w:val="00593A9B"/>
    <w:rsid w:val="00593C4C"/>
    <w:rsid w:val="0059539B"/>
    <w:rsid w:val="0059574A"/>
    <w:rsid w:val="00595D45"/>
    <w:rsid w:val="00595E90"/>
    <w:rsid w:val="00595FAC"/>
    <w:rsid w:val="0059714F"/>
    <w:rsid w:val="00597D05"/>
    <w:rsid w:val="005A069F"/>
    <w:rsid w:val="005A0A2A"/>
    <w:rsid w:val="005A0CA7"/>
    <w:rsid w:val="005A13B2"/>
    <w:rsid w:val="005A2782"/>
    <w:rsid w:val="005A3997"/>
    <w:rsid w:val="005A40E9"/>
    <w:rsid w:val="005A59A4"/>
    <w:rsid w:val="005A5B0D"/>
    <w:rsid w:val="005A6CAC"/>
    <w:rsid w:val="005B094C"/>
    <w:rsid w:val="005B1F0E"/>
    <w:rsid w:val="005B2A62"/>
    <w:rsid w:val="005B2AFF"/>
    <w:rsid w:val="005B433D"/>
    <w:rsid w:val="005B499C"/>
    <w:rsid w:val="005B54CB"/>
    <w:rsid w:val="005B5B47"/>
    <w:rsid w:val="005B6ABF"/>
    <w:rsid w:val="005B6B39"/>
    <w:rsid w:val="005B6E06"/>
    <w:rsid w:val="005B75BF"/>
    <w:rsid w:val="005C193E"/>
    <w:rsid w:val="005C1DC8"/>
    <w:rsid w:val="005C4165"/>
    <w:rsid w:val="005C42E7"/>
    <w:rsid w:val="005C44D6"/>
    <w:rsid w:val="005C57A7"/>
    <w:rsid w:val="005C57AF"/>
    <w:rsid w:val="005C6B3A"/>
    <w:rsid w:val="005C6C44"/>
    <w:rsid w:val="005C7ADD"/>
    <w:rsid w:val="005D069C"/>
    <w:rsid w:val="005D0A40"/>
    <w:rsid w:val="005D19B3"/>
    <w:rsid w:val="005D3494"/>
    <w:rsid w:val="005D4679"/>
    <w:rsid w:val="005D4BD6"/>
    <w:rsid w:val="005D6ACF"/>
    <w:rsid w:val="005D724D"/>
    <w:rsid w:val="005D7520"/>
    <w:rsid w:val="005D7680"/>
    <w:rsid w:val="005E0834"/>
    <w:rsid w:val="005E0C89"/>
    <w:rsid w:val="005E0E11"/>
    <w:rsid w:val="005E30CF"/>
    <w:rsid w:val="005E49B9"/>
    <w:rsid w:val="005F06E3"/>
    <w:rsid w:val="005F0828"/>
    <w:rsid w:val="005F0AE5"/>
    <w:rsid w:val="005F1CEE"/>
    <w:rsid w:val="005F208C"/>
    <w:rsid w:val="005F22AB"/>
    <w:rsid w:val="005F31AD"/>
    <w:rsid w:val="005F3A35"/>
    <w:rsid w:val="005F3F01"/>
    <w:rsid w:val="005F4D50"/>
    <w:rsid w:val="005F67D8"/>
    <w:rsid w:val="005F737A"/>
    <w:rsid w:val="005F7C06"/>
    <w:rsid w:val="00600101"/>
    <w:rsid w:val="00600677"/>
    <w:rsid w:val="00600820"/>
    <w:rsid w:val="00600E0B"/>
    <w:rsid w:val="00601149"/>
    <w:rsid w:val="0060116C"/>
    <w:rsid w:val="00601E85"/>
    <w:rsid w:val="0060236A"/>
    <w:rsid w:val="00603AAF"/>
    <w:rsid w:val="0060460A"/>
    <w:rsid w:val="006046C0"/>
    <w:rsid w:val="00604B45"/>
    <w:rsid w:val="00604DEB"/>
    <w:rsid w:val="00605842"/>
    <w:rsid w:val="00605FB5"/>
    <w:rsid w:val="006061E4"/>
    <w:rsid w:val="00606402"/>
    <w:rsid w:val="006071A0"/>
    <w:rsid w:val="0060750E"/>
    <w:rsid w:val="00607806"/>
    <w:rsid w:val="00607C1D"/>
    <w:rsid w:val="00610328"/>
    <w:rsid w:val="006108EB"/>
    <w:rsid w:val="00612A4F"/>
    <w:rsid w:val="0061422E"/>
    <w:rsid w:val="0061473B"/>
    <w:rsid w:val="006148BF"/>
    <w:rsid w:val="006152F3"/>
    <w:rsid w:val="00615DBE"/>
    <w:rsid w:val="00616097"/>
    <w:rsid w:val="006164A3"/>
    <w:rsid w:val="006164EB"/>
    <w:rsid w:val="00616568"/>
    <w:rsid w:val="00616EE0"/>
    <w:rsid w:val="00617227"/>
    <w:rsid w:val="00617794"/>
    <w:rsid w:val="00617806"/>
    <w:rsid w:val="0062007A"/>
    <w:rsid w:val="00620C27"/>
    <w:rsid w:val="00620D24"/>
    <w:rsid w:val="00622321"/>
    <w:rsid w:val="00623068"/>
    <w:rsid w:val="0062376E"/>
    <w:rsid w:val="00624185"/>
    <w:rsid w:val="00624793"/>
    <w:rsid w:val="006253B3"/>
    <w:rsid w:val="0062589A"/>
    <w:rsid w:val="00630152"/>
    <w:rsid w:val="006308C9"/>
    <w:rsid w:val="00630C84"/>
    <w:rsid w:val="00630FD5"/>
    <w:rsid w:val="00631590"/>
    <w:rsid w:val="006365C3"/>
    <w:rsid w:val="00636843"/>
    <w:rsid w:val="0064069F"/>
    <w:rsid w:val="00641920"/>
    <w:rsid w:val="00641B12"/>
    <w:rsid w:val="006429E5"/>
    <w:rsid w:val="00642D1C"/>
    <w:rsid w:val="00643C65"/>
    <w:rsid w:val="00644DC3"/>
    <w:rsid w:val="006466A2"/>
    <w:rsid w:val="00647669"/>
    <w:rsid w:val="006476D0"/>
    <w:rsid w:val="006514DF"/>
    <w:rsid w:val="00651635"/>
    <w:rsid w:val="00653E5B"/>
    <w:rsid w:val="006558E6"/>
    <w:rsid w:val="00655F51"/>
    <w:rsid w:val="00656942"/>
    <w:rsid w:val="006569F8"/>
    <w:rsid w:val="00656AC2"/>
    <w:rsid w:val="006610EA"/>
    <w:rsid w:val="00663438"/>
    <w:rsid w:val="0066405C"/>
    <w:rsid w:val="00664446"/>
    <w:rsid w:val="00664BEF"/>
    <w:rsid w:val="0066529B"/>
    <w:rsid w:val="006652C3"/>
    <w:rsid w:val="00665C96"/>
    <w:rsid w:val="006675C2"/>
    <w:rsid w:val="006675F2"/>
    <w:rsid w:val="0067140A"/>
    <w:rsid w:val="006718B2"/>
    <w:rsid w:val="00672086"/>
    <w:rsid w:val="00672682"/>
    <w:rsid w:val="00673340"/>
    <w:rsid w:val="00673F46"/>
    <w:rsid w:val="0067409D"/>
    <w:rsid w:val="006754A3"/>
    <w:rsid w:val="00675EB8"/>
    <w:rsid w:val="0067654C"/>
    <w:rsid w:val="00677288"/>
    <w:rsid w:val="00677E4F"/>
    <w:rsid w:val="0068208F"/>
    <w:rsid w:val="00682CBF"/>
    <w:rsid w:val="0068316A"/>
    <w:rsid w:val="00684889"/>
    <w:rsid w:val="00686037"/>
    <w:rsid w:val="00686992"/>
    <w:rsid w:val="00687F74"/>
    <w:rsid w:val="00690147"/>
    <w:rsid w:val="00690202"/>
    <w:rsid w:val="006906D5"/>
    <w:rsid w:val="00691824"/>
    <w:rsid w:val="00691C4B"/>
    <w:rsid w:val="00691DF5"/>
    <w:rsid w:val="00693710"/>
    <w:rsid w:val="0069375E"/>
    <w:rsid w:val="006939B7"/>
    <w:rsid w:val="00693A3E"/>
    <w:rsid w:val="00693F34"/>
    <w:rsid w:val="006949FB"/>
    <w:rsid w:val="00695ED8"/>
    <w:rsid w:val="00695FDD"/>
    <w:rsid w:val="00696285"/>
    <w:rsid w:val="00696ADB"/>
    <w:rsid w:val="00697430"/>
    <w:rsid w:val="006A0241"/>
    <w:rsid w:val="006A0A7D"/>
    <w:rsid w:val="006A18A7"/>
    <w:rsid w:val="006A29EE"/>
    <w:rsid w:val="006A2D79"/>
    <w:rsid w:val="006A498D"/>
    <w:rsid w:val="006A6119"/>
    <w:rsid w:val="006A680C"/>
    <w:rsid w:val="006A79FD"/>
    <w:rsid w:val="006B0B95"/>
    <w:rsid w:val="006B0E7E"/>
    <w:rsid w:val="006B10A6"/>
    <w:rsid w:val="006B116C"/>
    <w:rsid w:val="006B1315"/>
    <w:rsid w:val="006B135B"/>
    <w:rsid w:val="006B1D82"/>
    <w:rsid w:val="006B1F8E"/>
    <w:rsid w:val="006B44B6"/>
    <w:rsid w:val="006B50BB"/>
    <w:rsid w:val="006B5BC3"/>
    <w:rsid w:val="006B6313"/>
    <w:rsid w:val="006B6475"/>
    <w:rsid w:val="006B6929"/>
    <w:rsid w:val="006C0BF7"/>
    <w:rsid w:val="006C1E41"/>
    <w:rsid w:val="006C2436"/>
    <w:rsid w:val="006C4127"/>
    <w:rsid w:val="006C596A"/>
    <w:rsid w:val="006C5E05"/>
    <w:rsid w:val="006C6515"/>
    <w:rsid w:val="006C7EA7"/>
    <w:rsid w:val="006C7FD3"/>
    <w:rsid w:val="006D0360"/>
    <w:rsid w:val="006D05E6"/>
    <w:rsid w:val="006D2CCD"/>
    <w:rsid w:val="006D3187"/>
    <w:rsid w:val="006D3A2F"/>
    <w:rsid w:val="006D3FBC"/>
    <w:rsid w:val="006D437E"/>
    <w:rsid w:val="006D507D"/>
    <w:rsid w:val="006D519A"/>
    <w:rsid w:val="006D5C8E"/>
    <w:rsid w:val="006D6679"/>
    <w:rsid w:val="006D756F"/>
    <w:rsid w:val="006E1151"/>
    <w:rsid w:val="006E170B"/>
    <w:rsid w:val="006E17B9"/>
    <w:rsid w:val="006E1AEA"/>
    <w:rsid w:val="006E546C"/>
    <w:rsid w:val="006E5C1B"/>
    <w:rsid w:val="006E6173"/>
    <w:rsid w:val="006E7291"/>
    <w:rsid w:val="006E7E63"/>
    <w:rsid w:val="006F1F84"/>
    <w:rsid w:val="006F2069"/>
    <w:rsid w:val="006F2ACE"/>
    <w:rsid w:val="006F3397"/>
    <w:rsid w:val="006F432A"/>
    <w:rsid w:val="006F4ABC"/>
    <w:rsid w:val="006F76B5"/>
    <w:rsid w:val="006F7837"/>
    <w:rsid w:val="006F7A48"/>
    <w:rsid w:val="006F7EDD"/>
    <w:rsid w:val="00700286"/>
    <w:rsid w:val="007015F3"/>
    <w:rsid w:val="00701792"/>
    <w:rsid w:val="00703DD6"/>
    <w:rsid w:val="007045B0"/>
    <w:rsid w:val="00704F10"/>
    <w:rsid w:val="007054F8"/>
    <w:rsid w:val="00706200"/>
    <w:rsid w:val="00707963"/>
    <w:rsid w:val="00707B3B"/>
    <w:rsid w:val="007103F6"/>
    <w:rsid w:val="00710E38"/>
    <w:rsid w:val="00713735"/>
    <w:rsid w:val="00714C56"/>
    <w:rsid w:val="00715312"/>
    <w:rsid w:val="007163F4"/>
    <w:rsid w:val="007164FC"/>
    <w:rsid w:val="00720598"/>
    <w:rsid w:val="00720ACC"/>
    <w:rsid w:val="007210BF"/>
    <w:rsid w:val="007212D5"/>
    <w:rsid w:val="0072188E"/>
    <w:rsid w:val="00721B43"/>
    <w:rsid w:val="00721D55"/>
    <w:rsid w:val="00722D08"/>
    <w:rsid w:val="00722D0E"/>
    <w:rsid w:val="00723B92"/>
    <w:rsid w:val="007251B2"/>
    <w:rsid w:val="007303D1"/>
    <w:rsid w:val="007308CE"/>
    <w:rsid w:val="00730A7D"/>
    <w:rsid w:val="00731C9A"/>
    <w:rsid w:val="00732891"/>
    <w:rsid w:val="0073331E"/>
    <w:rsid w:val="0073360C"/>
    <w:rsid w:val="00733D4F"/>
    <w:rsid w:val="007345F6"/>
    <w:rsid w:val="0073480A"/>
    <w:rsid w:val="00734C14"/>
    <w:rsid w:val="00734CE8"/>
    <w:rsid w:val="007351DA"/>
    <w:rsid w:val="00735418"/>
    <w:rsid w:val="0073546A"/>
    <w:rsid w:val="0073679E"/>
    <w:rsid w:val="0074088D"/>
    <w:rsid w:val="007408A4"/>
    <w:rsid w:val="00740CED"/>
    <w:rsid w:val="0074343C"/>
    <w:rsid w:val="00743AAF"/>
    <w:rsid w:val="007442DE"/>
    <w:rsid w:val="00744E77"/>
    <w:rsid w:val="007466C9"/>
    <w:rsid w:val="00746887"/>
    <w:rsid w:val="00750ACF"/>
    <w:rsid w:val="00751746"/>
    <w:rsid w:val="0075249C"/>
    <w:rsid w:val="00752DFF"/>
    <w:rsid w:val="00753767"/>
    <w:rsid w:val="00754C6C"/>
    <w:rsid w:val="00754F8E"/>
    <w:rsid w:val="00756240"/>
    <w:rsid w:val="00756490"/>
    <w:rsid w:val="00756556"/>
    <w:rsid w:val="00756EFC"/>
    <w:rsid w:val="007576A1"/>
    <w:rsid w:val="00760124"/>
    <w:rsid w:val="00761571"/>
    <w:rsid w:val="00761704"/>
    <w:rsid w:val="00761ABE"/>
    <w:rsid w:val="00761F2E"/>
    <w:rsid w:val="007628A0"/>
    <w:rsid w:val="00763193"/>
    <w:rsid w:val="007641A6"/>
    <w:rsid w:val="0076497F"/>
    <w:rsid w:val="00764AF4"/>
    <w:rsid w:val="00764C05"/>
    <w:rsid w:val="00764CEC"/>
    <w:rsid w:val="00765C6B"/>
    <w:rsid w:val="007662EB"/>
    <w:rsid w:val="00766CF0"/>
    <w:rsid w:val="00767786"/>
    <w:rsid w:val="00767EA4"/>
    <w:rsid w:val="00767F83"/>
    <w:rsid w:val="007700C5"/>
    <w:rsid w:val="00770FEA"/>
    <w:rsid w:val="007710B4"/>
    <w:rsid w:val="0077118E"/>
    <w:rsid w:val="007711C8"/>
    <w:rsid w:val="007728A9"/>
    <w:rsid w:val="007730E6"/>
    <w:rsid w:val="0077333A"/>
    <w:rsid w:val="00773758"/>
    <w:rsid w:val="00774B3D"/>
    <w:rsid w:val="0077615A"/>
    <w:rsid w:val="00776948"/>
    <w:rsid w:val="007773A6"/>
    <w:rsid w:val="0077782E"/>
    <w:rsid w:val="00780CCB"/>
    <w:rsid w:val="00781A9C"/>
    <w:rsid w:val="00781D15"/>
    <w:rsid w:val="00781FB5"/>
    <w:rsid w:val="007827D8"/>
    <w:rsid w:val="007828C3"/>
    <w:rsid w:val="007835CD"/>
    <w:rsid w:val="007835E8"/>
    <w:rsid w:val="00783616"/>
    <w:rsid w:val="007836D3"/>
    <w:rsid w:val="00783FB3"/>
    <w:rsid w:val="00784B2A"/>
    <w:rsid w:val="00784B2D"/>
    <w:rsid w:val="00786D4B"/>
    <w:rsid w:val="00787BE6"/>
    <w:rsid w:val="00787CED"/>
    <w:rsid w:val="00787D16"/>
    <w:rsid w:val="007900D9"/>
    <w:rsid w:val="00792078"/>
    <w:rsid w:val="0079244D"/>
    <w:rsid w:val="007941C2"/>
    <w:rsid w:val="00795150"/>
    <w:rsid w:val="00795DC6"/>
    <w:rsid w:val="00795F13"/>
    <w:rsid w:val="00796344"/>
    <w:rsid w:val="00796B20"/>
    <w:rsid w:val="007974B6"/>
    <w:rsid w:val="007A1D50"/>
    <w:rsid w:val="007A33B9"/>
    <w:rsid w:val="007A61B6"/>
    <w:rsid w:val="007A62A6"/>
    <w:rsid w:val="007A6CD9"/>
    <w:rsid w:val="007A7023"/>
    <w:rsid w:val="007B0AB6"/>
    <w:rsid w:val="007B13A3"/>
    <w:rsid w:val="007B1C60"/>
    <w:rsid w:val="007B1E48"/>
    <w:rsid w:val="007B2AEF"/>
    <w:rsid w:val="007B2B2F"/>
    <w:rsid w:val="007B2C1B"/>
    <w:rsid w:val="007B4712"/>
    <w:rsid w:val="007B48A8"/>
    <w:rsid w:val="007B4EE6"/>
    <w:rsid w:val="007B514C"/>
    <w:rsid w:val="007B536B"/>
    <w:rsid w:val="007B56CD"/>
    <w:rsid w:val="007B5D3D"/>
    <w:rsid w:val="007B61B3"/>
    <w:rsid w:val="007B7F3E"/>
    <w:rsid w:val="007C0A74"/>
    <w:rsid w:val="007C1C92"/>
    <w:rsid w:val="007C258C"/>
    <w:rsid w:val="007C37B4"/>
    <w:rsid w:val="007C382D"/>
    <w:rsid w:val="007C46F0"/>
    <w:rsid w:val="007C48A4"/>
    <w:rsid w:val="007C4C79"/>
    <w:rsid w:val="007C5B6D"/>
    <w:rsid w:val="007C62C2"/>
    <w:rsid w:val="007C6798"/>
    <w:rsid w:val="007C6BD7"/>
    <w:rsid w:val="007D1330"/>
    <w:rsid w:val="007D1524"/>
    <w:rsid w:val="007D2CCA"/>
    <w:rsid w:val="007D4963"/>
    <w:rsid w:val="007D61C8"/>
    <w:rsid w:val="007D62AA"/>
    <w:rsid w:val="007E0A64"/>
    <w:rsid w:val="007E13EA"/>
    <w:rsid w:val="007E14EE"/>
    <w:rsid w:val="007E165E"/>
    <w:rsid w:val="007E19A2"/>
    <w:rsid w:val="007E1FEA"/>
    <w:rsid w:val="007E2B7E"/>
    <w:rsid w:val="007E4D6E"/>
    <w:rsid w:val="007E6221"/>
    <w:rsid w:val="007E666B"/>
    <w:rsid w:val="007E69F6"/>
    <w:rsid w:val="007E6A0B"/>
    <w:rsid w:val="007F0B09"/>
    <w:rsid w:val="007F0B26"/>
    <w:rsid w:val="007F0E4E"/>
    <w:rsid w:val="007F1DB6"/>
    <w:rsid w:val="007F2B70"/>
    <w:rsid w:val="007F3321"/>
    <w:rsid w:val="007F3EE1"/>
    <w:rsid w:val="007F44AA"/>
    <w:rsid w:val="007F47E4"/>
    <w:rsid w:val="007F493C"/>
    <w:rsid w:val="007F4B30"/>
    <w:rsid w:val="007F6688"/>
    <w:rsid w:val="007F7A72"/>
    <w:rsid w:val="007F7B77"/>
    <w:rsid w:val="007F7C84"/>
    <w:rsid w:val="0080231A"/>
    <w:rsid w:val="008023E2"/>
    <w:rsid w:val="00802634"/>
    <w:rsid w:val="0080320A"/>
    <w:rsid w:val="00805713"/>
    <w:rsid w:val="008062BA"/>
    <w:rsid w:val="00806A0C"/>
    <w:rsid w:val="00806EB9"/>
    <w:rsid w:val="00807F2D"/>
    <w:rsid w:val="00810E58"/>
    <w:rsid w:val="0081205F"/>
    <w:rsid w:val="00812B63"/>
    <w:rsid w:val="00812D10"/>
    <w:rsid w:val="008134B1"/>
    <w:rsid w:val="00813981"/>
    <w:rsid w:val="00813FD1"/>
    <w:rsid w:val="0081400D"/>
    <w:rsid w:val="00814079"/>
    <w:rsid w:val="00814923"/>
    <w:rsid w:val="008157C6"/>
    <w:rsid w:val="00815E02"/>
    <w:rsid w:val="008165D6"/>
    <w:rsid w:val="00817036"/>
    <w:rsid w:val="008179EF"/>
    <w:rsid w:val="008210F2"/>
    <w:rsid w:val="00821A93"/>
    <w:rsid w:val="00822247"/>
    <w:rsid w:val="00822289"/>
    <w:rsid w:val="00823FC6"/>
    <w:rsid w:val="00824629"/>
    <w:rsid w:val="00825FCE"/>
    <w:rsid w:val="00826982"/>
    <w:rsid w:val="00826DA3"/>
    <w:rsid w:val="00826F13"/>
    <w:rsid w:val="00827248"/>
    <w:rsid w:val="0083036F"/>
    <w:rsid w:val="00831DB1"/>
    <w:rsid w:val="008331DE"/>
    <w:rsid w:val="008335CB"/>
    <w:rsid w:val="00834617"/>
    <w:rsid w:val="00835297"/>
    <w:rsid w:val="00835548"/>
    <w:rsid w:val="00835568"/>
    <w:rsid w:val="00835B59"/>
    <w:rsid w:val="0083639A"/>
    <w:rsid w:val="00836AF0"/>
    <w:rsid w:val="00836CBD"/>
    <w:rsid w:val="00837143"/>
    <w:rsid w:val="0083769E"/>
    <w:rsid w:val="0083790F"/>
    <w:rsid w:val="00837E92"/>
    <w:rsid w:val="00840853"/>
    <w:rsid w:val="0084138B"/>
    <w:rsid w:val="00841D1A"/>
    <w:rsid w:val="00842415"/>
    <w:rsid w:val="00842EED"/>
    <w:rsid w:val="00844DAA"/>
    <w:rsid w:val="0084523D"/>
    <w:rsid w:val="0084632B"/>
    <w:rsid w:val="008471EE"/>
    <w:rsid w:val="0085122F"/>
    <w:rsid w:val="0085194F"/>
    <w:rsid w:val="00851BEE"/>
    <w:rsid w:val="00851CA1"/>
    <w:rsid w:val="00852D52"/>
    <w:rsid w:val="008540E1"/>
    <w:rsid w:val="00855360"/>
    <w:rsid w:val="00855E29"/>
    <w:rsid w:val="00855F6C"/>
    <w:rsid w:val="00857D1F"/>
    <w:rsid w:val="00857FF7"/>
    <w:rsid w:val="0086027D"/>
    <w:rsid w:val="0086103C"/>
    <w:rsid w:val="00861289"/>
    <w:rsid w:val="0086150B"/>
    <w:rsid w:val="0086192F"/>
    <w:rsid w:val="00862B70"/>
    <w:rsid w:val="00863F8C"/>
    <w:rsid w:val="00865BFE"/>
    <w:rsid w:val="00865C1B"/>
    <w:rsid w:val="00866166"/>
    <w:rsid w:val="00866B73"/>
    <w:rsid w:val="00866BB1"/>
    <w:rsid w:val="0086708E"/>
    <w:rsid w:val="0086745F"/>
    <w:rsid w:val="0086781B"/>
    <w:rsid w:val="00870522"/>
    <w:rsid w:val="00870A7C"/>
    <w:rsid w:val="00871DCF"/>
    <w:rsid w:val="00872E80"/>
    <w:rsid w:val="00872EE1"/>
    <w:rsid w:val="008743EE"/>
    <w:rsid w:val="00874D29"/>
    <w:rsid w:val="00874FA8"/>
    <w:rsid w:val="008779F4"/>
    <w:rsid w:val="00877A75"/>
    <w:rsid w:val="008811F9"/>
    <w:rsid w:val="0088263B"/>
    <w:rsid w:val="00882D27"/>
    <w:rsid w:val="00883099"/>
    <w:rsid w:val="0088482F"/>
    <w:rsid w:val="00884AA2"/>
    <w:rsid w:val="00885001"/>
    <w:rsid w:val="00885FDF"/>
    <w:rsid w:val="0088646A"/>
    <w:rsid w:val="008870AF"/>
    <w:rsid w:val="00887B82"/>
    <w:rsid w:val="00890466"/>
    <w:rsid w:val="00890AB5"/>
    <w:rsid w:val="0089257F"/>
    <w:rsid w:val="00893802"/>
    <w:rsid w:val="00893D1C"/>
    <w:rsid w:val="00895369"/>
    <w:rsid w:val="00895E7F"/>
    <w:rsid w:val="00896EA1"/>
    <w:rsid w:val="008A1029"/>
    <w:rsid w:val="008A153E"/>
    <w:rsid w:val="008A1959"/>
    <w:rsid w:val="008A1ACC"/>
    <w:rsid w:val="008A4213"/>
    <w:rsid w:val="008A599E"/>
    <w:rsid w:val="008A7116"/>
    <w:rsid w:val="008B003B"/>
    <w:rsid w:val="008B01D1"/>
    <w:rsid w:val="008B0A4A"/>
    <w:rsid w:val="008B107B"/>
    <w:rsid w:val="008B15E7"/>
    <w:rsid w:val="008B2536"/>
    <w:rsid w:val="008B2880"/>
    <w:rsid w:val="008B3197"/>
    <w:rsid w:val="008B3C92"/>
    <w:rsid w:val="008B6B31"/>
    <w:rsid w:val="008B6B3F"/>
    <w:rsid w:val="008C03BF"/>
    <w:rsid w:val="008C112E"/>
    <w:rsid w:val="008C1385"/>
    <w:rsid w:val="008C2922"/>
    <w:rsid w:val="008C44F8"/>
    <w:rsid w:val="008C6433"/>
    <w:rsid w:val="008C706A"/>
    <w:rsid w:val="008C78C6"/>
    <w:rsid w:val="008D00DA"/>
    <w:rsid w:val="008D0DFF"/>
    <w:rsid w:val="008D2D41"/>
    <w:rsid w:val="008D2F81"/>
    <w:rsid w:val="008D3B29"/>
    <w:rsid w:val="008D3D05"/>
    <w:rsid w:val="008D41EB"/>
    <w:rsid w:val="008D5096"/>
    <w:rsid w:val="008D5252"/>
    <w:rsid w:val="008D5773"/>
    <w:rsid w:val="008D59EA"/>
    <w:rsid w:val="008D64F8"/>
    <w:rsid w:val="008D68EC"/>
    <w:rsid w:val="008D6C2A"/>
    <w:rsid w:val="008D736C"/>
    <w:rsid w:val="008D7A91"/>
    <w:rsid w:val="008E0186"/>
    <w:rsid w:val="008E031E"/>
    <w:rsid w:val="008E0350"/>
    <w:rsid w:val="008E04DE"/>
    <w:rsid w:val="008E05C1"/>
    <w:rsid w:val="008E0D0E"/>
    <w:rsid w:val="008E0EC2"/>
    <w:rsid w:val="008E1A0E"/>
    <w:rsid w:val="008E28A2"/>
    <w:rsid w:val="008E364F"/>
    <w:rsid w:val="008E3E1E"/>
    <w:rsid w:val="008E4241"/>
    <w:rsid w:val="008E71BC"/>
    <w:rsid w:val="008E7E2E"/>
    <w:rsid w:val="008F1957"/>
    <w:rsid w:val="008F2326"/>
    <w:rsid w:val="008F2C04"/>
    <w:rsid w:val="008F2FF9"/>
    <w:rsid w:val="008F5F15"/>
    <w:rsid w:val="008F6202"/>
    <w:rsid w:val="008F6CB8"/>
    <w:rsid w:val="009002F3"/>
    <w:rsid w:val="00900B79"/>
    <w:rsid w:val="00900D30"/>
    <w:rsid w:val="009018DE"/>
    <w:rsid w:val="009021B6"/>
    <w:rsid w:val="0090243F"/>
    <w:rsid w:val="00903710"/>
    <w:rsid w:val="00903DEA"/>
    <w:rsid w:val="00905F2F"/>
    <w:rsid w:val="00906E88"/>
    <w:rsid w:val="009076F2"/>
    <w:rsid w:val="00907A74"/>
    <w:rsid w:val="00910742"/>
    <w:rsid w:val="009119C3"/>
    <w:rsid w:val="0091248B"/>
    <w:rsid w:val="00914353"/>
    <w:rsid w:val="009146D8"/>
    <w:rsid w:val="00914818"/>
    <w:rsid w:val="0091505E"/>
    <w:rsid w:val="0091631C"/>
    <w:rsid w:val="00916422"/>
    <w:rsid w:val="00917027"/>
    <w:rsid w:val="009213AC"/>
    <w:rsid w:val="00921A04"/>
    <w:rsid w:val="009223D8"/>
    <w:rsid w:val="009224F6"/>
    <w:rsid w:val="00922E79"/>
    <w:rsid w:val="00923AAA"/>
    <w:rsid w:val="00923FC4"/>
    <w:rsid w:val="00924136"/>
    <w:rsid w:val="009259AF"/>
    <w:rsid w:val="00925E44"/>
    <w:rsid w:val="00926A2B"/>
    <w:rsid w:val="00927481"/>
    <w:rsid w:val="009278F3"/>
    <w:rsid w:val="00927B25"/>
    <w:rsid w:val="00927C57"/>
    <w:rsid w:val="00931211"/>
    <w:rsid w:val="00931D7A"/>
    <w:rsid w:val="00933388"/>
    <w:rsid w:val="0093541D"/>
    <w:rsid w:val="00935A2A"/>
    <w:rsid w:val="00936129"/>
    <w:rsid w:val="00937FB1"/>
    <w:rsid w:val="00940A5A"/>
    <w:rsid w:val="00941941"/>
    <w:rsid w:val="00941943"/>
    <w:rsid w:val="009429AC"/>
    <w:rsid w:val="00943709"/>
    <w:rsid w:val="0094660B"/>
    <w:rsid w:val="009467CC"/>
    <w:rsid w:val="009469EB"/>
    <w:rsid w:val="00946F27"/>
    <w:rsid w:val="00947CFA"/>
    <w:rsid w:val="00950B92"/>
    <w:rsid w:val="00950C10"/>
    <w:rsid w:val="00952FFC"/>
    <w:rsid w:val="00953810"/>
    <w:rsid w:val="0095595E"/>
    <w:rsid w:val="0095690F"/>
    <w:rsid w:val="00957731"/>
    <w:rsid w:val="0096102C"/>
    <w:rsid w:val="009620CD"/>
    <w:rsid w:val="00963A76"/>
    <w:rsid w:val="00964DB8"/>
    <w:rsid w:val="0096561C"/>
    <w:rsid w:val="00966C6B"/>
    <w:rsid w:val="0096777F"/>
    <w:rsid w:val="009701FD"/>
    <w:rsid w:val="00970369"/>
    <w:rsid w:val="00970CF8"/>
    <w:rsid w:val="00971B5B"/>
    <w:rsid w:val="00973AD3"/>
    <w:rsid w:val="00974289"/>
    <w:rsid w:val="00976BB5"/>
    <w:rsid w:val="00976ECF"/>
    <w:rsid w:val="00980C92"/>
    <w:rsid w:val="0098143D"/>
    <w:rsid w:val="00981AC7"/>
    <w:rsid w:val="009829D0"/>
    <w:rsid w:val="00982ADB"/>
    <w:rsid w:val="00982B25"/>
    <w:rsid w:val="00982C78"/>
    <w:rsid w:val="00983B5B"/>
    <w:rsid w:val="0098423C"/>
    <w:rsid w:val="00984257"/>
    <w:rsid w:val="00985E23"/>
    <w:rsid w:val="0098606A"/>
    <w:rsid w:val="00986D5B"/>
    <w:rsid w:val="00987497"/>
    <w:rsid w:val="009877D9"/>
    <w:rsid w:val="00987DEC"/>
    <w:rsid w:val="00987FB1"/>
    <w:rsid w:val="00990831"/>
    <w:rsid w:val="0099278E"/>
    <w:rsid w:val="009933F0"/>
    <w:rsid w:val="00994035"/>
    <w:rsid w:val="0099422B"/>
    <w:rsid w:val="00994F5E"/>
    <w:rsid w:val="0099502F"/>
    <w:rsid w:val="00995604"/>
    <w:rsid w:val="00995A93"/>
    <w:rsid w:val="00996A3B"/>
    <w:rsid w:val="0099766F"/>
    <w:rsid w:val="009977CE"/>
    <w:rsid w:val="009A153E"/>
    <w:rsid w:val="009A25E4"/>
    <w:rsid w:val="009A58CB"/>
    <w:rsid w:val="009A6A8A"/>
    <w:rsid w:val="009A6AC7"/>
    <w:rsid w:val="009A7901"/>
    <w:rsid w:val="009B0170"/>
    <w:rsid w:val="009B0694"/>
    <w:rsid w:val="009B094B"/>
    <w:rsid w:val="009B12A1"/>
    <w:rsid w:val="009B1E14"/>
    <w:rsid w:val="009B43EE"/>
    <w:rsid w:val="009B4BB3"/>
    <w:rsid w:val="009B514D"/>
    <w:rsid w:val="009B6097"/>
    <w:rsid w:val="009C05B2"/>
    <w:rsid w:val="009C1526"/>
    <w:rsid w:val="009C17CB"/>
    <w:rsid w:val="009C2290"/>
    <w:rsid w:val="009C3428"/>
    <w:rsid w:val="009D235D"/>
    <w:rsid w:val="009D24B4"/>
    <w:rsid w:val="009D288F"/>
    <w:rsid w:val="009D2D74"/>
    <w:rsid w:val="009D3FD1"/>
    <w:rsid w:val="009D4CFF"/>
    <w:rsid w:val="009D5235"/>
    <w:rsid w:val="009D5844"/>
    <w:rsid w:val="009D5B66"/>
    <w:rsid w:val="009E0341"/>
    <w:rsid w:val="009E13F2"/>
    <w:rsid w:val="009E1A43"/>
    <w:rsid w:val="009E238D"/>
    <w:rsid w:val="009E2DA0"/>
    <w:rsid w:val="009E30ED"/>
    <w:rsid w:val="009E42DD"/>
    <w:rsid w:val="009E45F1"/>
    <w:rsid w:val="009E4E79"/>
    <w:rsid w:val="009E6043"/>
    <w:rsid w:val="009F0946"/>
    <w:rsid w:val="009F1D73"/>
    <w:rsid w:val="009F2194"/>
    <w:rsid w:val="009F2263"/>
    <w:rsid w:val="009F41FF"/>
    <w:rsid w:val="009F530F"/>
    <w:rsid w:val="009F5871"/>
    <w:rsid w:val="009F5F98"/>
    <w:rsid w:val="009F6B4E"/>
    <w:rsid w:val="009F7C5B"/>
    <w:rsid w:val="00A004EC"/>
    <w:rsid w:val="00A00E31"/>
    <w:rsid w:val="00A01499"/>
    <w:rsid w:val="00A03980"/>
    <w:rsid w:val="00A03D1D"/>
    <w:rsid w:val="00A05D77"/>
    <w:rsid w:val="00A05EBF"/>
    <w:rsid w:val="00A06182"/>
    <w:rsid w:val="00A06821"/>
    <w:rsid w:val="00A06C4D"/>
    <w:rsid w:val="00A06D64"/>
    <w:rsid w:val="00A1051C"/>
    <w:rsid w:val="00A10FCF"/>
    <w:rsid w:val="00A11906"/>
    <w:rsid w:val="00A12024"/>
    <w:rsid w:val="00A12980"/>
    <w:rsid w:val="00A12A80"/>
    <w:rsid w:val="00A13EFA"/>
    <w:rsid w:val="00A14940"/>
    <w:rsid w:val="00A14CE8"/>
    <w:rsid w:val="00A150FD"/>
    <w:rsid w:val="00A15B3F"/>
    <w:rsid w:val="00A15E2A"/>
    <w:rsid w:val="00A15F7C"/>
    <w:rsid w:val="00A15FF2"/>
    <w:rsid w:val="00A164B9"/>
    <w:rsid w:val="00A17D9D"/>
    <w:rsid w:val="00A204D0"/>
    <w:rsid w:val="00A212E8"/>
    <w:rsid w:val="00A21C53"/>
    <w:rsid w:val="00A21DD7"/>
    <w:rsid w:val="00A2283C"/>
    <w:rsid w:val="00A228B9"/>
    <w:rsid w:val="00A22A7F"/>
    <w:rsid w:val="00A2308C"/>
    <w:rsid w:val="00A25256"/>
    <w:rsid w:val="00A260AE"/>
    <w:rsid w:val="00A26AA1"/>
    <w:rsid w:val="00A3036E"/>
    <w:rsid w:val="00A309DF"/>
    <w:rsid w:val="00A32B49"/>
    <w:rsid w:val="00A333D7"/>
    <w:rsid w:val="00A33884"/>
    <w:rsid w:val="00A34774"/>
    <w:rsid w:val="00A34F5F"/>
    <w:rsid w:val="00A36194"/>
    <w:rsid w:val="00A36F9C"/>
    <w:rsid w:val="00A36F9D"/>
    <w:rsid w:val="00A37743"/>
    <w:rsid w:val="00A425CD"/>
    <w:rsid w:val="00A42A20"/>
    <w:rsid w:val="00A42ECB"/>
    <w:rsid w:val="00A435CB"/>
    <w:rsid w:val="00A4372D"/>
    <w:rsid w:val="00A44E58"/>
    <w:rsid w:val="00A45987"/>
    <w:rsid w:val="00A45D73"/>
    <w:rsid w:val="00A45E31"/>
    <w:rsid w:val="00A47711"/>
    <w:rsid w:val="00A504A7"/>
    <w:rsid w:val="00A515F4"/>
    <w:rsid w:val="00A519A2"/>
    <w:rsid w:val="00A52B21"/>
    <w:rsid w:val="00A53E27"/>
    <w:rsid w:val="00A55D0E"/>
    <w:rsid w:val="00A5704D"/>
    <w:rsid w:val="00A574BE"/>
    <w:rsid w:val="00A60881"/>
    <w:rsid w:val="00A60F07"/>
    <w:rsid w:val="00A61F1F"/>
    <w:rsid w:val="00A620CC"/>
    <w:rsid w:val="00A62B65"/>
    <w:rsid w:val="00A65478"/>
    <w:rsid w:val="00A66343"/>
    <w:rsid w:val="00A66D3D"/>
    <w:rsid w:val="00A66ED9"/>
    <w:rsid w:val="00A66F93"/>
    <w:rsid w:val="00A70651"/>
    <w:rsid w:val="00A707FE"/>
    <w:rsid w:val="00A70A4F"/>
    <w:rsid w:val="00A713FD"/>
    <w:rsid w:val="00A71AEF"/>
    <w:rsid w:val="00A733A5"/>
    <w:rsid w:val="00A7363D"/>
    <w:rsid w:val="00A738C6"/>
    <w:rsid w:val="00A74793"/>
    <w:rsid w:val="00A74E6A"/>
    <w:rsid w:val="00A75973"/>
    <w:rsid w:val="00A7774C"/>
    <w:rsid w:val="00A80281"/>
    <w:rsid w:val="00A8080F"/>
    <w:rsid w:val="00A80939"/>
    <w:rsid w:val="00A80CF8"/>
    <w:rsid w:val="00A80DDE"/>
    <w:rsid w:val="00A819AD"/>
    <w:rsid w:val="00A82773"/>
    <w:rsid w:val="00A839D2"/>
    <w:rsid w:val="00A86332"/>
    <w:rsid w:val="00A8716C"/>
    <w:rsid w:val="00A8746E"/>
    <w:rsid w:val="00A87A20"/>
    <w:rsid w:val="00A87C9A"/>
    <w:rsid w:val="00A87F16"/>
    <w:rsid w:val="00A87F59"/>
    <w:rsid w:val="00A91ACD"/>
    <w:rsid w:val="00A924C1"/>
    <w:rsid w:val="00A925C0"/>
    <w:rsid w:val="00A94199"/>
    <w:rsid w:val="00A94342"/>
    <w:rsid w:val="00A94656"/>
    <w:rsid w:val="00A94F8F"/>
    <w:rsid w:val="00A9611D"/>
    <w:rsid w:val="00A97808"/>
    <w:rsid w:val="00A97F46"/>
    <w:rsid w:val="00AA05D1"/>
    <w:rsid w:val="00AA2BD2"/>
    <w:rsid w:val="00AA3FE3"/>
    <w:rsid w:val="00AA504A"/>
    <w:rsid w:val="00AA564E"/>
    <w:rsid w:val="00AA6015"/>
    <w:rsid w:val="00AA78A9"/>
    <w:rsid w:val="00AB0240"/>
    <w:rsid w:val="00AB1B52"/>
    <w:rsid w:val="00AB261A"/>
    <w:rsid w:val="00AB3755"/>
    <w:rsid w:val="00AB47F2"/>
    <w:rsid w:val="00AB4CC7"/>
    <w:rsid w:val="00AB50D8"/>
    <w:rsid w:val="00AB6CDE"/>
    <w:rsid w:val="00AB79B4"/>
    <w:rsid w:val="00AB7A7E"/>
    <w:rsid w:val="00AC0429"/>
    <w:rsid w:val="00AC0C29"/>
    <w:rsid w:val="00AC1A75"/>
    <w:rsid w:val="00AC1AB6"/>
    <w:rsid w:val="00AC3C81"/>
    <w:rsid w:val="00AC428D"/>
    <w:rsid w:val="00AC727A"/>
    <w:rsid w:val="00AC7F86"/>
    <w:rsid w:val="00AD0A09"/>
    <w:rsid w:val="00AD19CE"/>
    <w:rsid w:val="00AD1E39"/>
    <w:rsid w:val="00AD5163"/>
    <w:rsid w:val="00AD5824"/>
    <w:rsid w:val="00AD6A77"/>
    <w:rsid w:val="00AD7854"/>
    <w:rsid w:val="00AD7A51"/>
    <w:rsid w:val="00AD7C5A"/>
    <w:rsid w:val="00AD7E22"/>
    <w:rsid w:val="00AE00E6"/>
    <w:rsid w:val="00AE05A0"/>
    <w:rsid w:val="00AE10BA"/>
    <w:rsid w:val="00AE175D"/>
    <w:rsid w:val="00AE2183"/>
    <w:rsid w:val="00AE2A46"/>
    <w:rsid w:val="00AE30D3"/>
    <w:rsid w:val="00AE3A94"/>
    <w:rsid w:val="00AE416C"/>
    <w:rsid w:val="00AE4D96"/>
    <w:rsid w:val="00AE5667"/>
    <w:rsid w:val="00AE63E7"/>
    <w:rsid w:val="00AE687D"/>
    <w:rsid w:val="00AF0E0A"/>
    <w:rsid w:val="00AF0F17"/>
    <w:rsid w:val="00AF20E3"/>
    <w:rsid w:val="00AF25A2"/>
    <w:rsid w:val="00AF282F"/>
    <w:rsid w:val="00AF3166"/>
    <w:rsid w:val="00AF457A"/>
    <w:rsid w:val="00AF539A"/>
    <w:rsid w:val="00AF6100"/>
    <w:rsid w:val="00AF6866"/>
    <w:rsid w:val="00AF6D17"/>
    <w:rsid w:val="00AF70B7"/>
    <w:rsid w:val="00B00338"/>
    <w:rsid w:val="00B009DF"/>
    <w:rsid w:val="00B00A03"/>
    <w:rsid w:val="00B0147A"/>
    <w:rsid w:val="00B029FA"/>
    <w:rsid w:val="00B058E2"/>
    <w:rsid w:val="00B05E45"/>
    <w:rsid w:val="00B065EB"/>
    <w:rsid w:val="00B06C02"/>
    <w:rsid w:val="00B070C0"/>
    <w:rsid w:val="00B0795A"/>
    <w:rsid w:val="00B07ED8"/>
    <w:rsid w:val="00B118D0"/>
    <w:rsid w:val="00B12FAC"/>
    <w:rsid w:val="00B14053"/>
    <w:rsid w:val="00B15789"/>
    <w:rsid w:val="00B165BD"/>
    <w:rsid w:val="00B16AC1"/>
    <w:rsid w:val="00B16E90"/>
    <w:rsid w:val="00B1738C"/>
    <w:rsid w:val="00B17423"/>
    <w:rsid w:val="00B17A70"/>
    <w:rsid w:val="00B203E9"/>
    <w:rsid w:val="00B20632"/>
    <w:rsid w:val="00B2118E"/>
    <w:rsid w:val="00B2153B"/>
    <w:rsid w:val="00B21F39"/>
    <w:rsid w:val="00B22223"/>
    <w:rsid w:val="00B22472"/>
    <w:rsid w:val="00B23160"/>
    <w:rsid w:val="00B2339A"/>
    <w:rsid w:val="00B23F32"/>
    <w:rsid w:val="00B25418"/>
    <w:rsid w:val="00B25787"/>
    <w:rsid w:val="00B27102"/>
    <w:rsid w:val="00B2740F"/>
    <w:rsid w:val="00B30C61"/>
    <w:rsid w:val="00B3188D"/>
    <w:rsid w:val="00B31E1D"/>
    <w:rsid w:val="00B3202D"/>
    <w:rsid w:val="00B322C7"/>
    <w:rsid w:val="00B326E5"/>
    <w:rsid w:val="00B3419C"/>
    <w:rsid w:val="00B349DF"/>
    <w:rsid w:val="00B357F4"/>
    <w:rsid w:val="00B361ED"/>
    <w:rsid w:val="00B36283"/>
    <w:rsid w:val="00B37EF3"/>
    <w:rsid w:val="00B40075"/>
    <w:rsid w:val="00B400F9"/>
    <w:rsid w:val="00B4032B"/>
    <w:rsid w:val="00B42B54"/>
    <w:rsid w:val="00B43148"/>
    <w:rsid w:val="00B4356A"/>
    <w:rsid w:val="00B43DE5"/>
    <w:rsid w:val="00B44359"/>
    <w:rsid w:val="00B45E51"/>
    <w:rsid w:val="00B51B19"/>
    <w:rsid w:val="00B51B93"/>
    <w:rsid w:val="00B527AE"/>
    <w:rsid w:val="00B528CA"/>
    <w:rsid w:val="00B54706"/>
    <w:rsid w:val="00B60046"/>
    <w:rsid w:val="00B60F68"/>
    <w:rsid w:val="00B6185E"/>
    <w:rsid w:val="00B61C3C"/>
    <w:rsid w:val="00B631A1"/>
    <w:rsid w:val="00B644B8"/>
    <w:rsid w:val="00B66879"/>
    <w:rsid w:val="00B66A79"/>
    <w:rsid w:val="00B70435"/>
    <w:rsid w:val="00B70A5A"/>
    <w:rsid w:val="00B71BCF"/>
    <w:rsid w:val="00B732C3"/>
    <w:rsid w:val="00B73D09"/>
    <w:rsid w:val="00B7543B"/>
    <w:rsid w:val="00B76C5A"/>
    <w:rsid w:val="00B805C9"/>
    <w:rsid w:val="00B80CF4"/>
    <w:rsid w:val="00B80F60"/>
    <w:rsid w:val="00B82280"/>
    <w:rsid w:val="00B82740"/>
    <w:rsid w:val="00B82D58"/>
    <w:rsid w:val="00B839A8"/>
    <w:rsid w:val="00B84759"/>
    <w:rsid w:val="00B847CC"/>
    <w:rsid w:val="00B848EE"/>
    <w:rsid w:val="00B854C0"/>
    <w:rsid w:val="00B868EA"/>
    <w:rsid w:val="00B90BE5"/>
    <w:rsid w:val="00B9120A"/>
    <w:rsid w:val="00B91E4D"/>
    <w:rsid w:val="00B92569"/>
    <w:rsid w:val="00B93758"/>
    <w:rsid w:val="00B93805"/>
    <w:rsid w:val="00B94D26"/>
    <w:rsid w:val="00B96179"/>
    <w:rsid w:val="00B966FA"/>
    <w:rsid w:val="00B973AB"/>
    <w:rsid w:val="00B97B91"/>
    <w:rsid w:val="00BA0A2D"/>
    <w:rsid w:val="00BA13A4"/>
    <w:rsid w:val="00BA2402"/>
    <w:rsid w:val="00BA2917"/>
    <w:rsid w:val="00BA32F0"/>
    <w:rsid w:val="00BA429A"/>
    <w:rsid w:val="00BA4735"/>
    <w:rsid w:val="00BA4D0F"/>
    <w:rsid w:val="00BA4F6F"/>
    <w:rsid w:val="00BA5006"/>
    <w:rsid w:val="00BA62F1"/>
    <w:rsid w:val="00BB00EC"/>
    <w:rsid w:val="00BB1B83"/>
    <w:rsid w:val="00BB2813"/>
    <w:rsid w:val="00BB2CD7"/>
    <w:rsid w:val="00BB674A"/>
    <w:rsid w:val="00BB67C4"/>
    <w:rsid w:val="00BB6F0A"/>
    <w:rsid w:val="00BB76CC"/>
    <w:rsid w:val="00BC1B14"/>
    <w:rsid w:val="00BC2282"/>
    <w:rsid w:val="00BC268D"/>
    <w:rsid w:val="00BC272F"/>
    <w:rsid w:val="00BC32C8"/>
    <w:rsid w:val="00BC47A8"/>
    <w:rsid w:val="00BC4859"/>
    <w:rsid w:val="00BC554C"/>
    <w:rsid w:val="00BC573B"/>
    <w:rsid w:val="00BC5CE8"/>
    <w:rsid w:val="00BC6F42"/>
    <w:rsid w:val="00BC6FFC"/>
    <w:rsid w:val="00BC747A"/>
    <w:rsid w:val="00BD03F7"/>
    <w:rsid w:val="00BD0CE6"/>
    <w:rsid w:val="00BD1999"/>
    <w:rsid w:val="00BD1E63"/>
    <w:rsid w:val="00BD1E99"/>
    <w:rsid w:val="00BD2284"/>
    <w:rsid w:val="00BD2816"/>
    <w:rsid w:val="00BD33B1"/>
    <w:rsid w:val="00BD33B8"/>
    <w:rsid w:val="00BD3DCB"/>
    <w:rsid w:val="00BD3F3E"/>
    <w:rsid w:val="00BD4B3F"/>
    <w:rsid w:val="00BD56C2"/>
    <w:rsid w:val="00BD69DA"/>
    <w:rsid w:val="00BD6A6F"/>
    <w:rsid w:val="00BD7CAB"/>
    <w:rsid w:val="00BE04F0"/>
    <w:rsid w:val="00BE0793"/>
    <w:rsid w:val="00BE0A92"/>
    <w:rsid w:val="00BE1128"/>
    <w:rsid w:val="00BE3AAC"/>
    <w:rsid w:val="00BE3D1F"/>
    <w:rsid w:val="00BE4818"/>
    <w:rsid w:val="00BE4CC7"/>
    <w:rsid w:val="00BE4E06"/>
    <w:rsid w:val="00BE78DF"/>
    <w:rsid w:val="00BE7B78"/>
    <w:rsid w:val="00BF0AB1"/>
    <w:rsid w:val="00BF11C3"/>
    <w:rsid w:val="00BF1ECA"/>
    <w:rsid w:val="00BF2779"/>
    <w:rsid w:val="00BF42C0"/>
    <w:rsid w:val="00BF43BC"/>
    <w:rsid w:val="00BF4D2C"/>
    <w:rsid w:val="00BF5F98"/>
    <w:rsid w:val="00BF7775"/>
    <w:rsid w:val="00BF787E"/>
    <w:rsid w:val="00C00086"/>
    <w:rsid w:val="00C001CB"/>
    <w:rsid w:val="00C00ACD"/>
    <w:rsid w:val="00C00D8F"/>
    <w:rsid w:val="00C00DA0"/>
    <w:rsid w:val="00C015E3"/>
    <w:rsid w:val="00C036F6"/>
    <w:rsid w:val="00C0448B"/>
    <w:rsid w:val="00C055E1"/>
    <w:rsid w:val="00C11052"/>
    <w:rsid w:val="00C112C4"/>
    <w:rsid w:val="00C119BA"/>
    <w:rsid w:val="00C11F92"/>
    <w:rsid w:val="00C130F1"/>
    <w:rsid w:val="00C13AB8"/>
    <w:rsid w:val="00C140BC"/>
    <w:rsid w:val="00C148D2"/>
    <w:rsid w:val="00C15F06"/>
    <w:rsid w:val="00C2002F"/>
    <w:rsid w:val="00C204B2"/>
    <w:rsid w:val="00C20FB0"/>
    <w:rsid w:val="00C224BC"/>
    <w:rsid w:val="00C2253E"/>
    <w:rsid w:val="00C22CAC"/>
    <w:rsid w:val="00C23CE4"/>
    <w:rsid w:val="00C25123"/>
    <w:rsid w:val="00C252E8"/>
    <w:rsid w:val="00C2599E"/>
    <w:rsid w:val="00C26333"/>
    <w:rsid w:val="00C2704E"/>
    <w:rsid w:val="00C270BA"/>
    <w:rsid w:val="00C306FD"/>
    <w:rsid w:val="00C31846"/>
    <w:rsid w:val="00C31A1B"/>
    <w:rsid w:val="00C31FB8"/>
    <w:rsid w:val="00C32A04"/>
    <w:rsid w:val="00C32AE0"/>
    <w:rsid w:val="00C35343"/>
    <w:rsid w:val="00C35678"/>
    <w:rsid w:val="00C36F1F"/>
    <w:rsid w:val="00C36F4A"/>
    <w:rsid w:val="00C37AB7"/>
    <w:rsid w:val="00C37F6A"/>
    <w:rsid w:val="00C40070"/>
    <w:rsid w:val="00C40B4A"/>
    <w:rsid w:val="00C40CEE"/>
    <w:rsid w:val="00C4175B"/>
    <w:rsid w:val="00C431A0"/>
    <w:rsid w:val="00C43A13"/>
    <w:rsid w:val="00C43E3D"/>
    <w:rsid w:val="00C44A2B"/>
    <w:rsid w:val="00C45F73"/>
    <w:rsid w:val="00C46BE8"/>
    <w:rsid w:val="00C46E5E"/>
    <w:rsid w:val="00C475F3"/>
    <w:rsid w:val="00C507AA"/>
    <w:rsid w:val="00C50AFA"/>
    <w:rsid w:val="00C518ED"/>
    <w:rsid w:val="00C51B2A"/>
    <w:rsid w:val="00C52086"/>
    <w:rsid w:val="00C537C1"/>
    <w:rsid w:val="00C53D70"/>
    <w:rsid w:val="00C56397"/>
    <w:rsid w:val="00C563B9"/>
    <w:rsid w:val="00C56B62"/>
    <w:rsid w:val="00C578E1"/>
    <w:rsid w:val="00C57929"/>
    <w:rsid w:val="00C60313"/>
    <w:rsid w:val="00C60D1A"/>
    <w:rsid w:val="00C6171D"/>
    <w:rsid w:val="00C61D3B"/>
    <w:rsid w:val="00C62203"/>
    <w:rsid w:val="00C6324F"/>
    <w:rsid w:val="00C63E2A"/>
    <w:rsid w:val="00C63E95"/>
    <w:rsid w:val="00C643DE"/>
    <w:rsid w:val="00C64FB3"/>
    <w:rsid w:val="00C667D4"/>
    <w:rsid w:val="00C67590"/>
    <w:rsid w:val="00C71299"/>
    <w:rsid w:val="00C715BF"/>
    <w:rsid w:val="00C7221C"/>
    <w:rsid w:val="00C72311"/>
    <w:rsid w:val="00C7380D"/>
    <w:rsid w:val="00C73B8C"/>
    <w:rsid w:val="00C74597"/>
    <w:rsid w:val="00C7520D"/>
    <w:rsid w:val="00C758FD"/>
    <w:rsid w:val="00C7612D"/>
    <w:rsid w:val="00C76303"/>
    <w:rsid w:val="00C7686A"/>
    <w:rsid w:val="00C770F8"/>
    <w:rsid w:val="00C81103"/>
    <w:rsid w:val="00C81104"/>
    <w:rsid w:val="00C8263D"/>
    <w:rsid w:val="00C83432"/>
    <w:rsid w:val="00C840D2"/>
    <w:rsid w:val="00C849E8"/>
    <w:rsid w:val="00C84C65"/>
    <w:rsid w:val="00C8568B"/>
    <w:rsid w:val="00C85A01"/>
    <w:rsid w:val="00C860E9"/>
    <w:rsid w:val="00C86E4C"/>
    <w:rsid w:val="00C90209"/>
    <w:rsid w:val="00C9050A"/>
    <w:rsid w:val="00C907CA"/>
    <w:rsid w:val="00C94609"/>
    <w:rsid w:val="00C94614"/>
    <w:rsid w:val="00C94FD7"/>
    <w:rsid w:val="00C95265"/>
    <w:rsid w:val="00C95B22"/>
    <w:rsid w:val="00C95F07"/>
    <w:rsid w:val="00C96CB6"/>
    <w:rsid w:val="00C97AB9"/>
    <w:rsid w:val="00CA01CF"/>
    <w:rsid w:val="00CA0882"/>
    <w:rsid w:val="00CA25A0"/>
    <w:rsid w:val="00CA299A"/>
    <w:rsid w:val="00CA2BF7"/>
    <w:rsid w:val="00CA320F"/>
    <w:rsid w:val="00CA3A45"/>
    <w:rsid w:val="00CA41F6"/>
    <w:rsid w:val="00CA42D6"/>
    <w:rsid w:val="00CA4D32"/>
    <w:rsid w:val="00CA5278"/>
    <w:rsid w:val="00CA529C"/>
    <w:rsid w:val="00CA6017"/>
    <w:rsid w:val="00CA6546"/>
    <w:rsid w:val="00CA74A8"/>
    <w:rsid w:val="00CA77F1"/>
    <w:rsid w:val="00CB0414"/>
    <w:rsid w:val="00CB1337"/>
    <w:rsid w:val="00CB28D0"/>
    <w:rsid w:val="00CB3648"/>
    <w:rsid w:val="00CB4A72"/>
    <w:rsid w:val="00CB5CE0"/>
    <w:rsid w:val="00CB5DCE"/>
    <w:rsid w:val="00CB5EDF"/>
    <w:rsid w:val="00CB7C1B"/>
    <w:rsid w:val="00CC1742"/>
    <w:rsid w:val="00CC1E75"/>
    <w:rsid w:val="00CC39AD"/>
    <w:rsid w:val="00CC3CF1"/>
    <w:rsid w:val="00CC4590"/>
    <w:rsid w:val="00CC62F6"/>
    <w:rsid w:val="00CC6617"/>
    <w:rsid w:val="00CC71B2"/>
    <w:rsid w:val="00CC725D"/>
    <w:rsid w:val="00CC75B2"/>
    <w:rsid w:val="00CC7A98"/>
    <w:rsid w:val="00CC7E28"/>
    <w:rsid w:val="00CC7F33"/>
    <w:rsid w:val="00CD02BE"/>
    <w:rsid w:val="00CD0C16"/>
    <w:rsid w:val="00CD1168"/>
    <w:rsid w:val="00CD1EC9"/>
    <w:rsid w:val="00CD2A3A"/>
    <w:rsid w:val="00CD2E0D"/>
    <w:rsid w:val="00CD4003"/>
    <w:rsid w:val="00CD56B5"/>
    <w:rsid w:val="00CD5985"/>
    <w:rsid w:val="00CD5FD0"/>
    <w:rsid w:val="00CD6181"/>
    <w:rsid w:val="00CD70BA"/>
    <w:rsid w:val="00CD7B54"/>
    <w:rsid w:val="00CE0400"/>
    <w:rsid w:val="00CE196C"/>
    <w:rsid w:val="00CE1C15"/>
    <w:rsid w:val="00CE4167"/>
    <w:rsid w:val="00CE4AB1"/>
    <w:rsid w:val="00CE5210"/>
    <w:rsid w:val="00CE5419"/>
    <w:rsid w:val="00CE6291"/>
    <w:rsid w:val="00CE7AD1"/>
    <w:rsid w:val="00CE7D17"/>
    <w:rsid w:val="00CE7EB5"/>
    <w:rsid w:val="00CF038C"/>
    <w:rsid w:val="00CF04E9"/>
    <w:rsid w:val="00CF07F9"/>
    <w:rsid w:val="00CF095F"/>
    <w:rsid w:val="00CF0AC5"/>
    <w:rsid w:val="00CF1249"/>
    <w:rsid w:val="00CF21FF"/>
    <w:rsid w:val="00CF30B2"/>
    <w:rsid w:val="00CF34A4"/>
    <w:rsid w:val="00CF3D3C"/>
    <w:rsid w:val="00CF3FCD"/>
    <w:rsid w:val="00CF6084"/>
    <w:rsid w:val="00D006AA"/>
    <w:rsid w:val="00D024CF"/>
    <w:rsid w:val="00D02EAC"/>
    <w:rsid w:val="00D048B7"/>
    <w:rsid w:val="00D054A6"/>
    <w:rsid w:val="00D061B4"/>
    <w:rsid w:val="00D069C1"/>
    <w:rsid w:val="00D076CC"/>
    <w:rsid w:val="00D077F0"/>
    <w:rsid w:val="00D07C1A"/>
    <w:rsid w:val="00D10BDF"/>
    <w:rsid w:val="00D115D6"/>
    <w:rsid w:val="00D13445"/>
    <w:rsid w:val="00D1358B"/>
    <w:rsid w:val="00D14480"/>
    <w:rsid w:val="00D14D28"/>
    <w:rsid w:val="00D17FE7"/>
    <w:rsid w:val="00D2008B"/>
    <w:rsid w:val="00D20179"/>
    <w:rsid w:val="00D22450"/>
    <w:rsid w:val="00D2329F"/>
    <w:rsid w:val="00D23EF6"/>
    <w:rsid w:val="00D25AC2"/>
    <w:rsid w:val="00D261DA"/>
    <w:rsid w:val="00D26C18"/>
    <w:rsid w:val="00D27250"/>
    <w:rsid w:val="00D272BD"/>
    <w:rsid w:val="00D30D7D"/>
    <w:rsid w:val="00D3123A"/>
    <w:rsid w:val="00D31AF1"/>
    <w:rsid w:val="00D32B82"/>
    <w:rsid w:val="00D33493"/>
    <w:rsid w:val="00D33631"/>
    <w:rsid w:val="00D339D8"/>
    <w:rsid w:val="00D33C23"/>
    <w:rsid w:val="00D3451B"/>
    <w:rsid w:val="00D34867"/>
    <w:rsid w:val="00D3547F"/>
    <w:rsid w:val="00D355C6"/>
    <w:rsid w:val="00D37620"/>
    <w:rsid w:val="00D37731"/>
    <w:rsid w:val="00D37E1B"/>
    <w:rsid w:val="00D415FC"/>
    <w:rsid w:val="00D41848"/>
    <w:rsid w:val="00D41C11"/>
    <w:rsid w:val="00D44A1A"/>
    <w:rsid w:val="00D44A45"/>
    <w:rsid w:val="00D44B0D"/>
    <w:rsid w:val="00D456D0"/>
    <w:rsid w:val="00D466AA"/>
    <w:rsid w:val="00D4787F"/>
    <w:rsid w:val="00D47A46"/>
    <w:rsid w:val="00D5083C"/>
    <w:rsid w:val="00D50948"/>
    <w:rsid w:val="00D516AC"/>
    <w:rsid w:val="00D5196C"/>
    <w:rsid w:val="00D51F65"/>
    <w:rsid w:val="00D525D8"/>
    <w:rsid w:val="00D528CF"/>
    <w:rsid w:val="00D52993"/>
    <w:rsid w:val="00D53AB7"/>
    <w:rsid w:val="00D54FD0"/>
    <w:rsid w:val="00D55321"/>
    <w:rsid w:val="00D56A30"/>
    <w:rsid w:val="00D57F74"/>
    <w:rsid w:val="00D60A83"/>
    <w:rsid w:val="00D62320"/>
    <w:rsid w:val="00D6265B"/>
    <w:rsid w:val="00D628AE"/>
    <w:rsid w:val="00D629C3"/>
    <w:rsid w:val="00D6319C"/>
    <w:rsid w:val="00D63CA6"/>
    <w:rsid w:val="00D66219"/>
    <w:rsid w:val="00D6705F"/>
    <w:rsid w:val="00D72365"/>
    <w:rsid w:val="00D72902"/>
    <w:rsid w:val="00D732B6"/>
    <w:rsid w:val="00D7391F"/>
    <w:rsid w:val="00D762AB"/>
    <w:rsid w:val="00D762AF"/>
    <w:rsid w:val="00D76AFE"/>
    <w:rsid w:val="00D77122"/>
    <w:rsid w:val="00D80EE5"/>
    <w:rsid w:val="00D80F15"/>
    <w:rsid w:val="00D82064"/>
    <w:rsid w:val="00D85573"/>
    <w:rsid w:val="00D86502"/>
    <w:rsid w:val="00D86794"/>
    <w:rsid w:val="00D86F20"/>
    <w:rsid w:val="00D86F4B"/>
    <w:rsid w:val="00D90014"/>
    <w:rsid w:val="00D90416"/>
    <w:rsid w:val="00D909A1"/>
    <w:rsid w:val="00D90EB5"/>
    <w:rsid w:val="00D915AD"/>
    <w:rsid w:val="00D91B0F"/>
    <w:rsid w:val="00D95F8C"/>
    <w:rsid w:val="00D9752C"/>
    <w:rsid w:val="00D979F6"/>
    <w:rsid w:val="00DA08C3"/>
    <w:rsid w:val="00DA13FB"/>
    <w:rsid w:val="00DA1811"/>
    <w:rsid w:val="00DA23CE"/>
    <w:rsid w:val="00DA240A"/>
    <w:rsid w:val="00DA26CD"/>
    <w:rsid w:val="00DA39EB"/>
    <w:rsid w:val="00DA3E64"/>
    <w:rsid w:val="00DA44FD"/>
    <w:rsid w:val="00DA7242"/>
    <w:rsid w:val="00DA7892"/>
    <w:rsid w:val="00DB030D"/>
    <w:rsid w:val="00DB2048"/>
    <w:rsid w:val="00DB35D6"/>
    <w:rsid w:val="00DB4FF4"/>
    <w:rsid w:val="00DB5F68"/>
    <w:rsid w:val="00DC2394"/>
    <w:rsid w:val="00DC4847"/>
    <w:rsid w:val="00DC51B5"/>
    <w:rsid w:val="00DC5F6F"/>
    <w:rsid w:val="00DC6E7E"/>
    <w:rsid w:val="00DC7786"/>
    <w:rsid w:val="00DD10E7"/>
    <w:rsid w:val="00DD16CC"/>
    <w:rsid w:val="00DD1BC9"/>
    <w:rsid w:val="00DD3348"/>
    <w:rsid w:val="00DD45FD"/>
    <w:rsid w:val="00DD5A72"/>
    <w:rsid w:val="00DE0532"/>
    <w:rsid w:val="00DE0E27"/>
    <w:rsid w:val="00DE2B73"/>
    <w:rsid w:val="00DE3463"/>
    <w:rsid w:val="00DE400B"/>
    <w:rsid w:val="00DE4816"/>
    <w:rsid w:val="00DE4BAC"/>
    <w:rsid w:val="00DE4FDA"/>
    <w:rsid w:val="00DE642A"/>
    <w:rsid w:val="00DE66B3"/>
    <w:rsid w:val="00DF0BB6"/>
    <w:rsid w:val="00DF14A5"/>
    <w:rsid w:val="00DF2270"/>
    <w:rsid w:val="00DF315C"/>
    <w:rsid w:val="00DF319A"/>
    <w:rsid w:val="00DF34B9"/>
    <w:rsid w:val="00DF44B5"/>
    <w:rsid w:val="00DF4939"/>
    <w:rsid w:val="00DF660C"/>
    <w:rsid w:val="00E0018C"/>
    <w:rsid w:val="00E001D0"/>
    <w:rsid w:val="00E001F5"/>
    <w:rsid w:val="00E012F6"/>
    <w:rsid w:val="00E0146E"/>
    <w:rsid w:val="00E016C0"/>
    <w:rsid w:val="00E01DB9"/>
    <w:rsid w:val="00E02CDB"/>
    <w:rsid w:val="00E02FF3"/>
    <w:rsid w:val="00E04442"/>
    <w:rsid w:val="00E0456E"/>
    <w:rsid w:val="00E10652"/>
    <w:rsid w:val="00E11499"/>
    <w:rsid w:val="00E11DDC"/>
    <w:rsid w:val="00E13D8F"/>
    <w:rsid w:val="00E14785"/>
    <w:rsid w:val="00E1583C"/>
    <w:rsid w:val="00E169F9"/>
    <w:rsid w:val="00E16B53"/>
    <w:rsid w:val="00E17218"/>
    <w:rsid w:val="00E173AB"/>
    <w:rsid w:val="00E214F5"/>
    <w:rsid w:val="00E215EF"/>
    <w:rsid w:val="00E21635"/>
    <w:rsid w:val="00E23B16"/>
    <w:rsid w:val="00E23ED9"/>
    <w:rsid w:val="00E25AAE"/>
    <w:rsid w:val="00E25EA2"/>
    <w:rsid w:val="00E2676C"/>
    <w:rsid w:val="00E27EF4"/>
    <w:rsid w:val="00E30CCE"/>
    <w:rsid w:val="00E3215F"/>
    <w:rsid w:val="00E335C5"/>
    <w:rsid w:val="00E3370D"/>
    <w:rsid w:val="00E33A40"/>
    <w:rsid w:val="00E34175"/>
    <w:rsid w:val="00E3514F"/>
    <w:rsid w:val="00E3572A"/>
    <w:rsid w:val="00E36CA9"/>
    <w:rsid w:val="00E36FDA"/>
    <w:rsid w:val="00E373F8"/>
    <w:rsid w:val="00E379BB"/>
    <w:rsid w:val="00E37ED6"/>
    <w:rsid w:val="00E40F28"/>
    <w:rsid w:val="00E42FC4"/>
    <w:rsid w:val="00E45AA4"/>
    <w:rsid w:val="00E469FE"/>
    <w:rsid w:val="00E46EF0"/>
    <w:rsid w:val="00E47283"/>
    <w:rsid w:val="00E47A75"/>
    <w:rsid w:val="00E47E9F"/>
    <w:rsid w:val="00E530E6"/>
    <w:rsid w:val="00E53530"/>
    <w:rsid w:val="00E53C6F"/>
    <w:rsid w:val="00E545DB"/>
    <w:rsid w:val="00E54CBE"/>
    <w:rsid w:val="00E56525"/>
    <w:rsid w:val="00E56FD9"/>
    <w:rsid w:val="00E57009"/>
    <w:rsid w:val="00E57502"/>
    <w:rsid w:val="00E62B9F"/>
    <w:rsid w:val="00E63545"/>
    <w:rsid w:val="00E651AD"/>
    <w:rsid w:val="00E656D8"/>
    <w:rsid w:val="00E6662E"/>
    <w:rsid w:val="00E6698D"/>
    <w:rsid w:val="00E706A6"/>
    <w:rsid w:val="00E71A9F"/>
    <w:rsid w:val="00E71F15"/>
    <w:rsid w:val="00E72D3A"/>
    <w:rsid w:val="00E733A1"/>
    <w:rsid w:val="00E745DA"/>
    <w:rsid w:val="00E75B0E"/>
    <w:rsid w:val="00E7623B"/>
    <w:rsid w:val="00E76B18"/>
    <w:rsid w:val="00E779CD"/>
    <w:rsid w:val="00E8125A"/>
    <w:rsid w:val="00E813AE"/>
    <w:rsid w:val="00E81682"/>
    <w:rsid w:val="00E818E7"/>
    <w:rsid w:val="00E82668"/>
    <w:rsid w:val="00E83985"/>
    <w:rsid w:val="00E83A74"/>
    <w:rsid w:val="00E840A7"/>
    <w:rsid w:val="00E84180"/>
    <w:rsid w:val="00E8591F"/>
    <w:rsid w:val="00E87015"/>
    <w:rsid w:val="00E8749A"/>
    <w:rsid w:val="00E87643"/>
    <w:rsid w:val="00E904B2"/>
    <w:rsid w:val="00E91104"/>
    <w:rsid w:val="00E91588"/>
    <w:rsid w:val="00E932CB"/>
    <w:rsid w:val="00E93947"/>
    <w:rsid w:val="00E93FE9"/>
    <w:rsid w:val="00E94421"/>
    <w:rsid w:val="00E95A3B"/>
    <w:rsid w:val="00E95DC9"/>
    <w:rsid w:val="00E96DE4"/>
    <w:rsid w:val="00E97247"/>
    <w:rsid w:val="00E975C8"/>
    <w:rsid w:val="00EA01F6"/>
    <w:rsid w:val="00EA09EF"/>
    <w:rsid w:val="00EA14EE"/>
    <w:rsid w:val="00EA23B2"/>
    <w:rsid w:val="00EA29BA"/>
    <w:rsid w:val="00EA2A62"/>
    <w:rsid w:val="00EA5A00"/>
    <w:rsid w:val="00EA601C"/>
    <w:rsid w:val="00EA60D7"/>
    <w:rsid w:val="00EA6164"/>
    <w:rsid w:val="00EA692E"/>
    <w:rsid w:val="00EA6ECF"/>
    <w:rsid w:val="00EB239F"/>
    <w:rsid w:val="00EB2A09"/>
    <w:rsid w:val="00EB3B20"/>
    <w:rsid w:val="00EB461E"/>
    <w:rsid w:val="00EB6CD3"/>
    <w:rsid w:val="00EB735A"/>
    <w:rsid w:val="00EB7E7C"/>
    <w:rsid w:val="00EC1388"/>
    <w:rsid w:val="00EC16D9"/>
    <w:rsid w:val="00EC1E5F"/>
    <w:rsid w:val="00EC2BA2"/>
    <w:rsid w:val="00EC3058"/>
    <w:rsid w:val="00EC5625"/>
    <w:rsid w:val="00EC5706"/>
    <w:rsid w:val="00EC6194"/>
    <w:rsid w:val="00ED0186"/>
    <w:rsid w:val="00ED05D7"/>
    <w:rsid w:val="00ED0E1A"/>
    <w:rsid w:val="00ED12BE"/>
    <w:rsid w:val="00ED1C52"/>
    <w:rsid w:val="00ED201B"/>
    <w:rsid w:val="00ED207D"/>
    <w:rsid w:val="00ED208B"/>
    <w:rsid w:val="00ED2781"/>
    <w:rsid w:val="00ED27CE"/>
    <w:rsid w:val="00ED2C2A"/>
    <w:rsid w:val="00ED2ED8"/>
    <w:rsid w:val="00ED3991"/>
    <w:rsid w:val="00ED42B1"/>
    <w:rsid w:val="00ED4FE1"/>
    <w:rsid w:val="00ED728F"/>
    <w:rsid w:val="00ED73B7"/>
    <w:rsid w:val="00EE1961"/>
    <w:rsid w:val="00EE20A3"/>
    <w:rsid w:val="00EE2263"/>
    <w:rsid w:val="00EE253A"/>
    <w:rsid w:val="00EE2D9D"/>
    <w:rsid w:val="00EE3033"/>
    <w:rsid w:val="00EE33C2"/>
    <w:rsid w:val="00EE3D6B"/>
    <w:rsid w:val="00EE512D"/>
    <w:rsid w:val="00EE62D1"/>
    <w:rsid w:val="00EE6817"/>
    <w:rsid w:val="00EE6CD3"/>
    <w:rsid w:val="00EE7177"/>
    <w:rsid w:val="00EE778D"/>
    <w:rsid w:val="00EE7CA9"/>
    <w:rsid w:val="00EF0428"/>
    <w:rsid w:val="00EF048B"/>
    <w:rsid w:val="00EF089A"/>
    <w:rsid w:val="00EF0EFF"/>
    <w:rsid w:val="00EF1E87"/>
    <w:rsid w:val="00EF1E8A"/>
    <w:rsid w:val="00EF1ED1"/>
    <w:rsid w:val="00EF373E"/>
    <w:rsid w:val="00EF4109"/>
    <w:rsid w:val="00EF4815"/>
    <w:rsid w:val="00EF580B"/>
    <w:rsid w:val="00EF6091"/>
    <w:rsid w:val="00EF6131"/>
    <w:rsid w:val="00EF67BE"/>
    <w:rsid w:val="00F00174"/>
    <w:rsid w:val="00F00CE0"/>
    <w:rsid w:val="00F01319"/>
    <w:rsid w:val="00F01DE2"/>
    <w:rsid w:val="00F0255B"/>
    <w:rsid w:val="00F02A59"/>
    <w:rsid w:val="00F02C3E"/>
    <w:rsid w:val="00F0346E"/>
    <w:rsid w:val="00F042AD"/>
    <w:rsid w:val="00F06999"/>
    <w:rsid w:val="00F07B41"/>
    <w:rsid w:val="00F107EF"/>
    <w:rsid w:val="00F1287B"/>
    <w:rsid w:val="00F12C49"/>
    <w:rsid w:val="00F13054"/>
    <w:rsid w:val="00F15443"/>
    <w:rsid w:val="00F16296"/>
    <w:rsid w:val="00F16379"/>
    <w:rsid w:val="00F16495"/>
    <w:rsid w:val="00F200DD"/>
    <w:rsid w:val="00F20493"/>
    <w:rsid w:val="00F20847"/>
    <w:rsid w:val="00F2111A"/>
    <w:rsid w:val="00F21953"/>
    <w:rsid w:val="00F22FBC"/>
    <w:rsid w:val="00F2356B"/>
    <w:rsid w:val="00F23784"/>
    <w:rsid w:val="00F243F2"/>
    <w:rsid w:val="00F255EE"/>
    <w:rsid w:val="00F25A66"/>
    <w:rsid w:val="00F25DB7"/>
    <w:rsid w:val="00F26AC5"/>
    <w:rsid w:val="00F27267"/>
    <w:rsid w:val="00F3209B"/>
    <w:rsid w:val="00F323CC"/>
    <w:rsid w:val="00F3264B"/>
    <w:rsid w:val="00F32BBB"/>
    <w:rsid w:val="00F33E0B"/>
    <w:rsid w:val="00F347ED"/>
    <w:rsid w:val="00F3575E"/>
    <w:rsid w:val="00F35F26"/>
    <w:rsid w:val="00F377B5"/>
    <w:rsid w:val="00F418CD"/>
    <w:rsid w:val="00F41A91"/>
    <w:rsid w:val="00F41CAD"/>
    <w:rsid w:val="00F427A9"/>
    <w:rsid w:val="00F43740"/>
    <w:rsid w:val="00F44630"/>
    <w:rsid w:val="00F45771"/>
    <w:rsid w:val="00F4591D"/>
    <w:rsid w:val="00F4634C"/>
    <w:rsid w:val="00F46917"/>
    <w:rsid w:val="00F46DA8"/>
    <w:rsid w:val="00F46EAE"/>
    <w:rsid w:val="00F47DD6"/>
    <w:rsid w:val="00F50936"/>
    <w:rsid w:val="00F51A5D"/>
    <w:rsid w:val="00F52B52"/>
    <w:rsid w:val="00F53C9A"/>
    <w:rsid w:val="00F53C9D"/>
    <w:rsid w:val="00F54319"/>
    <w:rsid w:val="00F55ACC"/>
    <w:rsid w:val="00F55B1B"/>
    <w:rsid w:val="00F55F7E"/>
    <w:rsid w:val="00F562DF"/>
    <w:rsid w:val="00F5731E"/>
    <w:rsid w:val="00F57ED4"/>
    <w:rsid w:val="00F57F9C"/>
    <w:rsid w:val="00F60686"/>
    <w:rsid w:val="00F61FEC"/>
    <w:rsid w:val="00F638F9"/>
    <w:rsid w:val="00F63A49"/>
    <w:rsid w:val="00F63D13"/>
    <w:rsid w:val="00F63D4B"/>
    <w:rsid w:val="00F64292"/>
    <w:rsid w:val="00F650A1"/>
    <w:rsid w:val="00F668AE"/>
    <w:rsid w:val="00F66D7C"/>
    <w:rsid w:val="00F67167"/>
    <w:rsid w:val="00F67838"/>
    <w:rsid w:val="00F705E1"/>
    <w:rsid w:val="00F708E5"/>
    <w:rsid w:val="00F713E7"/>
    <w:rsid w:val="00F7272A"/>
    <w:rsid w:val="00F73B26"/>
    <w:rsid w:val="00F74316"/>
    <w:rsid w:val="00F7639F"/>
    <w:rsid w:val="00F8092F"/>
    <w:rsid w:val="00F80CB3"/>
    <w:rsid w:val="00F815FB"/>
    <w:rsid w:val="00F819AE"/>
    <w:rsid w:val="00F81FDB"/>
    <w:rsid w:val="00F82A0E"/>
    <w:rsid w:val="00F8339E"/>
    <w:rsid w:val="00F84F48"/>
    <w:rsid w:val="00F8570D"/>
    <w:rsid w:val="00F86211"/>
    <w:rsid w:val="00F86574"/>
    <w:rsid w:val="00F87A68"/>
    <w:rsid w:val="00F87AA0"/>
    <w:rsid w:val="00F90640"/>
    <w:rsid w:val="00F909C0"/>
    <w:rsid w:val="00F90E68"/>
    <w:rsid w:val="00F93571"/>
    <w:rsid w:val="00F94746"/>
    <w:rsid w:val="00F949F2"/>
    <w:rsid w:val="00F95A37"/>
    <w:rsid w:val="00F95E1B"/>
    <w:rsid w:val="00F96B10"/>
    <w:rsid w:val="00F96C47"/>
    <w:rsid w:val="00FA0576"/>
    <w:rsid w:val="00FA1690"/>
    <w:rsid w:val="00FA1A6B"/>
    <w:rsid w:val="00FA2354"/>
    <w:rsid w:val="00FA283A"/>
    <w:rsid w:val="00FA28F2"/>
    <w:rsid w:val="00FA2CB4"/>
    <w:rsid w:val="00FA2E92"/>
    <w:rsid w:val="00FA3338"/>
    <w:rsid w:val="00FA3B57"/>
    <w:rsid w:val="00FA49BF"/>
    <w:rsid w:val="00FA5C4E"/>
    <w:rsid w:val="00FA6EF8"/>
    <w:rsid w:val="00FB2490"/>
    <w:rsid w:val="00FB2980"/>
    <w:rsid w:val="00FB3921"/>
    <w:rsid w:val="00FB40B1"/>
    <w:rsid w:val="00FB41F6"/>
    <w:rsid w:val="00FB45A6"/>
    <w:rsid w:val="00FB49DF"/>
    <w:rsid w:val="00FB4BB8"/>
    <w:rsid w:val="00FB6FF6"/>
    <w:rsid w:val="00FB76FB"/>
    <w:rsid w:val="00FB7908"/>
    <w:rsid w:val="00FC0686"/>
    <w:rsid w:val="00FC231D"/>
    <w:rsid w:val="00FC48CC"/>
    <w:rsid w:val="00FC5054"/>
    <w:rsid w:val="00FC6425"/>
    <w:rsid w:val="00FC6452"/>
    <w:rsid w:val="00FC64FB"/>
    <w:rsid w:val="00FC7428"/>
    <w:rsid w:val="00FD0017"/>
    <w:rsid w:val="00FD012C"/>
    <w:rsid w:val="00FD07A1"/>
    <w:rsid w:val="00FD0BAF"/>
    <w:rsid w:val="00FD10EB"/>
    <w:rsid w:val="00FD1A09"/>
    <w:rsid w:val="00FD248D"/>
    <w:rsid w:val="00FD2D79"/>
    <w:rsid w:val="00FD35A6"/>
    <w:rsid w:val="00FD5068"/>
    <w:rsid w:val="00FD7100"/>
    <w:rsid w:val="00FD799E"/>
    <w:rsid w:val="00FE03C5"/>
    <w:rsid w:val="00FE05D7"/>
    <w:rsid w:val="00FE1054"/>
    <w:rsid w:val="00FE3B3C"/>
    <w:rsid w:val="00FE3EE8"/>
    <w:rsid w:val="00FE44A5"/>
    <w:rsid w:val="00FE452C"/>
    <w:rsid w:val="00FE4537"/>
    <w:rsid w:val="00FE5407"/>
    <w:rsid w:val="00FE5597"/>
    <w:rsid w:val="00FE6909"/>
    <w:rsid w:val="00FF138F"/>
    <w:rsid w:val="00FF1447"/>
    <w:rsid w:val="00FF21AC"/>
    <w:rsid w:val="00FF25F8"/>
    <w:rsid w:val="00FF30FC"/>
    <w:rsid w:val="00FF3AB8"/>
    <w:rsid w:val="00FF3C8B"/>
    <w:rsid w:val="00FF40AC"/>
    <w:rsid w:val="00FF458A"/>
    <w:rsid w:val="00FF4A69"/>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4B232"/>
  <w15:chartTrackingRefBased/>
  <w15:docId w15:val="{46AB1C4F-DCBD-4A8D-8CCB-8A48BD2F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C8"/>
    <w:rPr>
      <w:lang w:val="en-US"/>
    </w:rPr>
  </w:style>
  <w:style w:type="paragraph" w:styleId="Ttulo1">
    <w:name w:val="heading 1"/>
    <w:basedOn w:val="Normal"/>
    <w:next w:val="Normal"/>
    <w:link w:val="Ttulo1Car"/>
    <w:uiPriority w:val="9"/>
    <w:qFormat/>
    <w:rsid w:val="00034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C52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354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5FDF"/>
    <w:pPr>
      <w:ind w:left="720"/>
      <w:contextualSpacing/>
    </w:pPr>
  </w:style>
  <w:style w:type="paragraph" w:styleId="Encabezado">
    <w:name w:val="header"/>
    <w:basedOn w:val="Normal"/>
    <w:link w:val="EncabezadoCar"/>
    <w:uiPriority w:val="99"/>
    <w:unhideWhenUsed/>
    <w:rsid w:val="00903DE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03DEA"/>
  </w:style>
  <w:style w:type="paragraph" w:styleId="Piedepgina">
    <w:name w:val="footer"/>
    <w:basedOn w:val="Normal"/>
    <w:link w:val="PiedepginaCar"/>
    <w:uiPriority w:val="99"/>
    <w:unhideWhenUsed/>
    <w:rsid w:val="00903DE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03DEA"/>
  </w:style>
  <w:style w:type="character" w:styleId="Hipervnculo">
    <w:name w:val="Hyperlink"/>
    <w:basedOn w:val="Fuentedeprrafopredeter"/>
    <w:uiPriority w:val="99"/>
    <w:unhideWhenUsed/>
    <w:rsid w:val="00183D00"/>
    <w:rPr>
      <w:color w:val="auto"/>
      <w:u w:val="none"/>
    </w:rPr>
  </w:style>
  <w:style w:type="character" w:customStyle="1" w:styleId="UnresolvedMention1">
    <w:name w:val="Unresolved Mention1"/>
    <w:basedOn w:val="Fuentedeprrafopredeter"/>
    <w:uiPriority w:val="99"/>
    <w:semiHidden/>
    <w:unhideWhenUsed/>
    <w:rsid w:val="00F66D7C"/>
    <w:rPr>
      <w:color w:val="605E5C"/>
      <w:shd w:val="clear" w:color="auto" w:fill="E1DFDD"/>
    </w:rPr>
  </w:style>
  <w:style w:type="paragraph" w:customStyle="1" w:styleId="Char">
    <w:name w:val="Char"/>
    <w:basedOn w:val="Normal"/>
    <w:rsid w:val="008F6202"/>
    <w:pPr>
      <w:tabs>
        <w:tab w:val="left" w:pos="709"/>
      </w:tabs>
      <w:spacing w:after="0" w:line="240" w:lineRule="auto"/>
    </w:pPr>
    <w:rPr>
      <w:rFonts w:ascii="Tahoma" w:eastAsia="Times New Roman" w:hAnsi="Tahoma" w:cs="Times New Roman"/>
      <w:sz w:val="24"/>
      <w:szCs w:val="24"/>
      <w:lang w:val="pl-PL" w:eastAsia="pl-PL"/>
    </w:rPr>
  </w:style>
  <w:style w:type="paragraph" w:styleId="Textonotapie">
    <w:name w:val="footnote text"/>
    <w:basedOn w:val="Normal"/>
    <w:link w:val="TextonotapieCar"/>
    <w:uiPriority w:val="99"/>
    <w:unhideWhenUsed/>
    <w:rsid w:val="003903CC"/>
    <w:pPr>
      <w:spacing w:after="0" w:line="240" w:lineRule="auto"/>
    </w:pPr>
    <w:rPr>
      <w:sz w:val="20"/>
      <w:szCs w:val="20"/>
    </w:rPr>
  </w:style>
  <w:style w:type="character" w:customStyle="1" w:styleId="TextonotapieCar">
    <w:name w:val="Texto nota pie Car"/>
    <w:basedOn w:val="Fuentedeprrafopredeter"/>
    <w:link w:val="Textonotapie"/>
    <w:uiPriority w:val="99"/>
    <w:rsid w:val="003903CC"/>
    <w:rPr>
      <w:sz w:val="20"/>
      <w:szCs w:val="20"/>
    </w:rPr>
  </w:style>
  <w:style w:type="character" w:styleId="Refdenotaalpie">
    <w:name w:val="footnote reference"/>
    <w:basedOn w:val="Fuentedeprrafopredeter"/>
    <w:uiPriority w:val="99"/>
    <w:semiHidden/>
    <w:unhideWhenUsed/>
    <w:rsid w:val="003903CC"/>
    <w:rPr>
      <w:vertAlign w:val="superscript"/>
    </w:rPr>
  </w:style>
  <w:style w:type="paragraph" w:styleId="Textodeglobo">
    <w:name w:val="Balloon Text"/>
    <w:basedOn w:val="Normal"/>
    <w:link w:val="TextodegloboCar"/>
    <w:uiPriority w:val="99"/>
    <w:semiHidden/>
    <w:unhideWhenUsed/>
    <w:rsid w:val="00B40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032B"/>
    <w:rPr>
      <w:rFonts w:ascii="Segoe UI" w:hAnsi="Segoe UI" w:cs="Segoe UI"/>
      <w:sz w:val="18"/>
      <w:szCs w:val="18"/>
    </w:rPr>
  </w:style>
  <w:style w:type="character" w:styleId="Hipervnculovisitado">
    <w:name w:val="FollowedHyperlink"/>
    <w:basedOn w:val="Fuentedeprrafopredeter"/>
    <w:uiPriority w:val="99"/>
    <w:semiHidden/>
    <w:unhideWhenUsed/>
    <w:rsid w:val="005A40E9"/>
    <w:rPr>
      <w:color w:val="954F72" w:themeColor="followedHyperlink"/>
      <w:u w:val="single"/>
    </w:rPr>
  </w:style>
  <w:style w:type="character" w:customStyle="1" w:styleId="UnresolvedMention2">
    <w:name w:val="Unresolved Mention2"/>
    <w:basedOn w:val="Fuentedeprrafopredeter"/>
    <w:uiPriority w:val="99"/>
    <w:semiHidden/>
    <w:unhideWhenUsed/>
    <w:rsid w:val="00F638F9"/>
    <w:rPr>
      <w:color w:val="605E5C"/>
      <w:shd w:val="clear" w:color="auto" w:fill="E1DFDD"/>
    </w:rPr>
  </w:style>
  <w:style w:type="character" w:customStyle="1" w:styleId="Ttulo2Car">
    <w:name w:val="Título 2 Car"/>
    <w:basedOn w:val="Fuentedeprrafopredeter"/>
    <w:link w:val="Ttulo2"/>
    <w:uiPriority w:val="9"/>
    <w:semiHidden/>
    <w:rsid w:val="001C5226"/>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034FED"/>
    <w:rPr>
      <w:rFonts w:asciiTheme="majorHAnsi" w:eastAsiaTheme="majorEastAsia" w:hAnsiTheme="majorHAnsi" w:cstheme="majorBidi"/>
      <w:color w:val="2F5496" w:themeColor="accent1" w:themeShade="BF"/>
      <w:sz w:val="32"/>
      <w:szCs w:val="32"/>
    </w:rPr>
  </w:style>
  <w:style w:type="character" w:styleId="nfasis">
    <w:name w:val="Emphasis"/>
    <w:uiPriority w:val="20"/>
    <w:qFormat/>
    <w:rsid w:val="00330015"/>
    <w:rPr>
      <w:rFonts w:cs="Times New Roman"/>
      <w:i/>
      <w:iCs/>
    </w:rPr>
  </w:style>
  <w:style w:type="character" w:styleId="Textoennegrita">
    <w:name w:val="Strong"/>
    <w:uiPriority w:val="22"/>
    <w:qFormat/>
    <w:rsid w:val="00330015"/>
    <w:rPr>
      <w:b/>
      <w:bCs/>
    </w:rPr>
  </w:style>
  <w:style w:type="character" w:customStyle="1" w:styleId="UnresolvedMention">
    <w:name w:val="Unresolved Mention"/>
    <w:basedOn w:val="Fuentedeprrafopredeter"/>
    <w:uiPriority w:val="99"/>
    <w:semiHidden/>
    <w:unhideWhenUsed/>
    <w:rsid w:val="00455074"/>
    <w:rPr>
      <w:color w:val="605E5C"/>
      <w:shd w:val="clear" w:color="auto" w:fill="E1DFDD"/>
    </w:rPr>
  </w:style>
  <w:style w:type="paragraph" w:customStyle="1" w:styleId="lmttranslationsastextitem">
    <w:name w:val="lmt__translations_as_text__item"/>
    <w:basedOn w:val="Normal"/>
    <w:rsid w:val="009E238D"/>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c01pointnumerotealtn">
    <w:name w:val="c01pointnumerotealtn"/>
    <w:basedOn w:val="Normal"/>
    <w:rsid w:val="00476C42"/>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text">
    <w:name w:val="text"/>
    <w:basedOn w:val="Fuentedeprrafopredeter"/>
    <w:rsid w:val="00464ABB"/>
  </w:style>
  <w:style w:type="paragraph" w:customStyle="1" w:styleId="Normal1">
    <w:name w:val="Normal1"/>
    <w:basedOn w:val="Normal"/>
    <w:rsid w:val="001C141B"/>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customStyle="1" w:styleId="Default">
    <w:name w:val="Default"/>
    <w:rsid w:val="00E30CCE"/>
    <w:pPr>
      <w:autoSpaceDE w:val="0"/>
      <w:autoSpaceDN w:val="0"/>
      <w:adjustRightInd w:val="0"/>
      <w:spacing w:after="0" w:line="240" w:lineRule="auto"/>
    </w:pPr>
    <w:rPr>
      <w:rFonts w:ascii="Times New Roman" w:hAnsi="Times New Roman" w:cs="Times New Roman"/>
      <w:color w:val="000000"/>
      <w:sz w:val="24"/>
      <w:szCs w:val="24"/>
      <w:lang w:val="pt-PT"/>
    </w:rPr>
  </w:style>
  <w:style w:type="character" w:customStyle="1" w:styleId="Ttulo3Car">
    <w:name w:val="Título 3 Car"/>
    <w:basedOn w:val="Fuentedeprrafopredeter"/>
    <w:link w:val="Ttulo3"/>
    <w:uiPriority w:val="9"/>
    <w:semiHidden/>
    <w:rsid w:val="00D3547F"/>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0248">
      <w:bodyDiv w:val="1"/>
      <w:marLeft w:val="0"/>
      <w:marRight w:val="0"/>
      <w:marTop w:val="0"/>
      <w:marBottom w:val="0"/>
      <w:divBdr>
        <w:top w:val="none" w:sz="0" w:space="0" w:color="auto"/>
        <w:left w:val="none" w:sz="0" w:space="0" w:color="auto"/>
        <w:bottom w:val="none" w:sz="0" w:space="0" w:color="auto"/>
        <w:right w:val="none" w:sz="0" w:space="0" w:color="auto"/>
      </w:divBdr>
    </w:div>
    <w:div w:id="48380551">
      <w:bodyDiv w:val="1"/>
      <w:marLeft w:val="0"/>
      <w:marRight w:val="0"/>
      <w:marTop w:val="0"/>
      <w:marBottom w:val="0"/>
      <w:divBdr>
        <w:top w:val="none" w:sz="0" w:space="0" w:color="auto"/>
        <w:left w:val="none" w:sz="0" w:space="0" w:color="auto"/>
        <w:bottom w:val="none" w:sz="0" w:space="0" w:color="auto"/>
        <w:right w:val="none" w:sz="0" w:space="0" w:color="auto"/>
      </w:divBdr>
    </w:div>
    <w:div w:id="61221795">
      <w:bodyDiv w:val="1"/>
      <w:marLeft w:val="0"/>
      <w:marRight w:val="0"/>
      <w:marTop w:val="0"/>
      <w:marBottom w:val="0"/>
      <w:divBdr>
        <w:top w:val="none" w:sz="0" w:space="0" w:color="auto"/>
        <w:left w:val="none" w:sz="0" w:space="0" w:color="auto"/>
        <w:bottom w:val="none" w:sz="0" w:space="0" w:color="auto"/>
        <w:right w:val="none" w:sz="0" w:space="0" w:color="auto"/>
      </w:divBdr>
      <w:divsChild>
        <w:div w:id="856425500">
          <w:marLeft w:val="0"/>
          <w:marRight w:val="0"/>
          <w:marTop w:val="0"/>
          <w:marBottom w:val="0"/>
          <w:divBdr>
            <w:top w:val="none" w:sz="0" w:space="0" w:color="auto"/>
            <w:left w:val="none" w:sz="0" w:space="0" w:color="auto"/>
            <w:bottom w:val="none" w:sz="0" w:space="0" w:color="auto"/>
            <w:right w:val="none" w:sz="0" w:space="0" w:color="auto"/>
          </w:divBdr>
        </w:div>
      </w:divsChild>
    </w:div>
    <w:div w:id="135152467">
      <w:bodyDiv w:val="1"/>
      <w:marLeft w:val="0"/>
      <w:marRight w:val="0"/>
      <w:marTop w:val="0"/>
      <w:marBottom w:val="0"/>
      <w:divBdr>
        <w:top w:val="none" w:sz="0" w:space="0" w:color="auto"/>
        <w:left w:val="none" w:sz="0" w:space="0" w:color="auto"/>
        <w:bottom w:val="none" w:sz="0" w:space="0" w:color="auto"/>
        <w:right w:val="none" w:sz="0" w:space="0" w:color="auto"/>
      </w:divBdr>
    </w:div>
    <w:div w:id="191693162">
      <w:bodyDiv w:val="1"/>
      <w:marLeft w:val="0"/>
      <w:marRight w:val="0"/>
      <w:marTop w:val="0"/>
      <w:marBottom w:val="0"/>
      <w:divBdr>
        <w:top w:val="none" w:sz="0" w:space="0" w:color="auto"/>
        <w:left w:val="none" w:sz="0" w:space="0" w:color="auto"/>
        <w:bottom w:val="none" w:sz="0" w:space="0" w:color="auto"/>
        <w:right w:val="none" w:sz="0" w:space="0" w:color="auto"/>
      </w:divBdr>
    </w:div>
    <w:div w:id="244994450">
      <w:bodyDiv w:val="1"/>
      <w:marLeft w:val="0"/>
      <w:marRight w:val="0"/>
      <w:marTop w:val="0"/>
      <w:marBottom w:val="0"/>
      <w:divBdr>
        <w:top w:val="none" w:sz="0" w:space="0" w:color="auto"/>
        <w:left w:val="none" w:sz="0" w:space="0" w:color="auto"/>
        <w:bottom w:val="none" w:sz="0" w:space="0" w:color="auto"/>
        <w:right w:val="none" w:sz="0" w:space="0" w:color="auto"/>
      </w:divBdr>
    </w:div>
    <w:div w:id="282077030">
      <w:bodyDiv w:val="1"/>
      <w:marLeft w:val="0"/>
      <w:marRight w:val="0"/>
      <w:marTop w:val="0"/>
      <w:marBottom w:val="0"/>
      <w:divBdr>
        <w:top w:val="none" w:sz="0" w:space="0" w:color="auto"/>
        <w:left w:val="none" w:sz="0" w:space="0" w:color="auto"/>
        <w:bottom w:val="none" w:sz="0" w:space="0" w:color="auto"/>
        <w:right w:val="none" w:sz="0" w:space="0" w:color="auto"/>
      </w:divBdr>
    </w:div>
    <w:div w:id="547572651">
      <w:bodyDiv w:val="1"/>
      <w:marLeft w:val="0"/>
      <w:marRight w:val="0"/>
      <w:marTop w:val="0"/>
      <w:marBottom w:val="0"/>
      <w:divBdr>
        <w:top w:val="none" w:sz="0" w:space="0" w:color="auto"/>
        <w:left w:val="none" w:sz="0" w:space="0" w:color="auto"/>
        <w:bottom w:val="none" w:sz="0" w:space="0" w:color="auto"/>
        <w:right w:val="none" w:sz="0" w:space="0" w:color="auto"/>
      </w:divBdr>
    </w:div>
    <w:div w:id="581642434">
      <w:bodyDiv w:val="1"/>
      <w:marLeft w:val="0"/>
      <w:marRight w:val="0"/>
      <w:marTop w:val="0"/>
      <w:marBottom w:val="0"/>
      <w:divBdr>
        <w:top w:val="none" w:sz="0" w:space="0" w:color="auto"/>
        <w:left w:val="none" w:sz="0" w:space="0" w:color="auto"/>
        <w:bottom w:val="none" w:sz="0" w:space="0" w:color="auto"/>
        <w:right w:val="none" w:sz="0" w:space="0" w:color="auto"/>
      </w:divBdr>
    </w:div>
    <w:div w:id="684407423">
      <w:bodyDiv w:val="1"/>
      <w:marLeft w:val="0"/>
      <w:marRight w:val="0"/>
      <w:marTop w:val="0"/>
      <w:marBottom w:val="0"/>
      <w:divBdr>
        <w:top w:val="none" w:sz="0" w:space="0" w:color="auto"/>
        <w:left w:val="none" w:sz="0" w:space="0" w:color="auto"/>
        <w:bottom w:val="none" w:sz="0" w:space="0" w:color="auto"/>
        <w:right w:val="none" w:sz="0" w:space="0" w:color="auto"/>
      </w:divBdr>
    </w:div>
    <w:div w:id="787894499">
      <w:bodyDiv w:val="1"/>
      <w:marLeft w:val="0"/>
      <w:marRight w:val="0"/>
      <w:marTop w:val="0"/>
      <w:marBottom w:val="0"/>
      <w:divBdr>
        <w:top w:val="none" w:sz="0" w:space="0" w:color="auto"/>
        <w:left w:val="none" w:sz="0" w:space="0" w:color="auto"/>
        <w:bottom w:val="none" w:sz="0" w:space="0" w:color="auto"/>
        <w:right w:val="none" w:sz="0" w:space="0" w:color="auto"/>
      </w:divBdr>
    </w:div>
    <w:div w:id="802191809">
      <w:bodyDiv w:val="1"/>
      <w:marLeft w:val="0"/>
      <w:marRight w:val="0"/>
      <w:marTop w:val="0"/>
      <w:marBottom w:val="0"/>
      <w:divBdr>
        <w:top w:val="none" w:sz="0" w:space="0" w:color="auto"/>
        <w:left w:val="none" w:sz="0" w:space="0" w:color="auto"/>
        <w:bottom w:val="none" w:sz="0" w:space="0" w:color="auto"/>
        <w:right w:val="none" w:sz="0" w:space="0" w:color="auto"/>
      </w:divBdr>
    </w:div>
    <w:div w:id="828712614">
      <w:bodyDiv w:val="1"/>
      <w:marLeft w:val="0"/>
      <w:marRight w:val="0"/>
      <w:marTop w:val="0"/>
      <w:marBottom w:val="0"/>
      <w:divBdr>
        <w:top w:val="none" w:sz="0" w:space="0" w:color="auto"/>
        <w:left w:val="none" w:sz="0" w:space="0" w:color="auto"/>
        <w:bottom w:val="none" w:sz="0" w:space="0" w:color="auto"/>
        <w:right w:val="none" w:sz="0" w:space="0" w:color="auto"/>
      </w:divBdr>
    </w:div>
    <w:div w:id="872303006">
      <w:bodyDiv w:val="1"/>
      <w:marLeft w:val="0"/>
      <w:marRight w:val="0"/>
      <w:marTop w:val="0"/>
      <w:marBottom w:val="0"/>
      <w:divBdr>
        <w:top w:val="none" w:sz="0" w:space="0" w:color="auto"/>
        <w:left w:val="none" w:sz="0" w:space="0" w:color="auto"/>
        <w:bottom w:val="none" w:sz="0" w:space="0" w:color="auto"/>
        <w:right w:val="none" w:sz="0" w:space="0" w:color="auto"/>
      </w:divBdr>
    </w:div>
    <w:div w:id="891842227">
      <w:bodyDiv w:val="1"/>
      <w:marLeft w:val="0"/>
      <w:marRight w:val="0"/>
      <w:marTop w:val="0"/>
      <w:marBottom w:val="0"/>
      <w:divBdr>
        <w:top w:val="none" w:sz="0" w:space="0" w:color="auto"/>
        <w:left w:val="none" w:sz="0" w:space="0" w:color="auto"/>
        <w:bottom w:val="none" w:sz="0" w:space="0" w:color="auto"/>
        <w:right w:val="none" w:sz="0" w:space="0" w:color="auto"/>
      </w:divBdr>
    </w:div>
    <w:div w:id="914630299">
      <w:bodyDiv w:val="1"/>
      <w:marLeft w:val="0"/>
      <w:marRight w:val="0"/>
      <w:marTop w:val="0"/>
      <w:marBottom w:val="0"/>
      <w:divBdr>
        <w:top w:val="none" w:sz="0" w:space="0" w:color="auto"/>
        <w:left w:val="none" w:sz="0" w:space="0" w:color="auto"/>
        <w:bottom w:val="none" w:sz="0" w:space="0" w:color="auto"/>
        <w:right w:val="none" w:sz="0" w:space="0" w:color="auto"/>
      </w:divBdr>
    </w:div>
    <w:div w:id="998731911">
      <w:bodyDiv w:val="1"/>
      <w:marLeft w:val="0"/>
      <w:marRight w:val="0"/>
      <w:marTop w:val="0"/>
      <w:marBottom w:val="0"/>
      <w:divBdr>
        <w:top w:val="none" w:sz="0" w:space="0" w:color="auto"/>
        <w:left w:val="none" w:sz="0" w:space="0" w:color="auto"/>
        <w:bottom w:val="none" w:sz="0" w:space="0" w:color="auto"/>
        <w:right w:val="none" w:sz="0" w:space="0" w:color="auto"/>
      </w:divBdr>
    </w:div>
    <w:div w:id="1006831702">
      <w:bodyDiv w:val="1"/>
      <w:marLeft w:val="0"/>
      <w:marRight w:val="0"/>
      <w:marTop w:val="0"/>
      <w:marBottom w:val="0"/>
      <w:divBdr>
        <w:top w:val="none" w:sz="0" w:space="0" w:color="auto"/>
        <w:left w:val="none" w:sz="0" w:space="0" w:color="auto"/>
        <w:bottom w:val="none" w:sz="0" w:space="0" w:color="auto"/>
        <w:right w:val="none" w:sz="0" w:space="0" w:color="auto"/>
      </w:divBdr>
    </w:div>
    <w:div w:id="1155610377">
      <w:bodyDiv w:val="1"/>
      <w:marLeft w:val="0"/>
      <w:marRight w:val="0"/>
      <w:marTop w:val="0"/>
      <w:marBottom w:val="0"/>
      <w:divBdr>
        <w:top w:val="none" w:sz="0" w:space="0" w:color="auto"/>
        <w:left w:val="none" w:sz="0" w:space="0" w:color="auto"/>
        <w:bottom w:val="none" w:sz="0" w:space="0" w:color="auto"/>
        <w:right w:val="none" w:sz="0" w:space="0" w:color="auto"/>
      </w:divBdr>
    </w:div>
    <w:div w:id="1349865943">
      <w:bodyDiv w:val="1"/>
      <w:marLeft w:val="0"/>
      <w:marRight w:val="0"/>
      <w:marTop w:val="0"/>
      <w:marBottom w:val="0"/>
      <w:divBdr>
        <w:top w:val="none" w:sz="0" w:space="0" w:color="auto"/>
        <w:left w:val="none" w:sz="0" w:space="0" w:color="auto"/>
        <w:bottom w:val="none" w:sz="0" w:space="0" w:color="auto"/>
        <w:right w:val="none" w:sz="0" w:space="0" w:color="auto"/>
      </w:divBdr>
    </w:div>
    <w:div w:id="1586450624">
      <w:bodyDiv w:val="1"/>
      <w:marLeft w:val="0"/>
      <w:marRight w:val="0"/>
      <w:marTop w:val="0"/>
      <w:marBottom w:val="0"/>
      <w:divBdr>
        <w:top w:val="none" w:sz="0" w:space="0" w:color="auto"/>
        <w:left w:val="none" w:sz="0" w:space="0" w:color="auto"/>
        <w:bottom w:val="none" w:sz="0" w:space="0" w:color="auto"/>
        <w:right w:val="none" w:sz="0" w:space="0" w:color="auto"/>
      </w:divBdr>
    </w:div>
    <w:div w:id="1633244111">
      <w:bodyDiv w:val="1"/>
      <w:marLeft w:val="0"/>
      <w:marRight w:val="0"/>
      <w:marTop w:val="0"/>
      <w:marBottom w:val="0"/>
      <w:divBdr>
        <w:top w:val="none" w:sz="0" w:space="0" w:color="auto"/>
        <w:left w:val="none" w:sz="0" w:space="0" w:color="auto"/>
        <w:bottom w:val="none" w:sz="0" w:space="0" w:color="auto"/>
        <w:right w:val="none" w:sz="0" w:space="0" w:color="auto"/>
      </w:divBdr>
    </w:div>
    <w:div w:id="1811434475">
      <w:bodyDiv w:val="1"/>
      <w:marLeft w:val="0"/>
      <w:marRight w:val="0"/>
      <w:marTop w:val="0"/>
      <w:marBottom w:val="0"/>
      <w:divBdr>
        <w:top w:val="none" w:sz="0" w:space="0" w:color="auto"/>
        <w:left w:val="none" w:sz="0" w:space="0" w:color="auto"/>
        <w:bottom w:val="none" w:sz="0" w:space="0" w:color="auto"/>
        <w:right w:val="none" w:sz="0" w:space="0" w:color="auto"/>
      </w:divBdr>
    </w:div>
    <w:div w:id="1918778870">
      <w:bodyDiv w:val="1"/>
      <w:marLeft w:val="0"/>
      <w:marRight w:val="0"/>
      <w:marTop w:val="0"/>
      <w:marBottom w:val="0"/>
      <w:divBdr>
        <w:top w:val="none" w:sz="0" w:space="0" w:color="auto"/>
        <w:left w:val="none" w:sz="0" w:space="0" w:color="auto"/>
        <w:bottom w:val="none" w:sz="0" w:space="0" w:color="auto"/>
        <w:right w:val="none" w:sz="0" w:space="0" w:color="auto"/>
      </w:divBdr>
    </w:div>
    <w:div w:id="20283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eu/rapid/pressrelease_SPEECH-13-677_en.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roparl.europa.eu/RegData/etudes/BRIE/2019/642280/EPRS_BRI(2019)642280_EN.pdf" TargetMode="External"/><Relationship Id="rId4" Type="http://schemas.openxmlformats.org/officeDocument/2006/relationships/settings" Target="settings.xml"/><Relationship Id="rId9" Type="http://schemas.openxmlformats.org/officeDocument/2006/relationships/hyperlink" Target="https://www.europarl.europa.eu/RegData/etudes/BRIE/2021/696173/EPRS_BRI(2021)696173_EN.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jog.tk.hu/mtalwp/the-crisis-of-the-rule-of-law-democracy-and-fundamental-rights-in-hungary" TargetMode="External"/><Relationship Id="rId3" Type="http://schemas.openxmlformats.org/officeDocument/2006/relationships/hyperlink" Target="https://worldjusticeproject.org/rule-of-law-index/downloads/WJPIndex2024.pdf" TargetMode="External"/><Relationship Id="rId7" Type="http://schemas.openxmlformats.org/officeDocument/2006/relationships/hyperlink" Target="https://data.consilium.europa.eu/doc/document/ST-16936-2014-INIT/en/pdf" TargetMode="External"/><Relationship Id="rId2" Type="http://schemas.openxmlformats.org/officeDocument/2006/relationships/hyperlink" Target="https://www.europarl.europa.eu/RegData/etudes/BRIE/2019/642280/EPRS_BRI(2019)642280_EN.pdf" TargetMode="External"/><Relationship Id="rId1" Type="http://schemas.openxmlformats.org/officeDocument/2006/relationships/hyperlink" Target="https://ec.europa.eu/info/strategy/strategic-planning/state-union-addresses/state-union-2021_en" TargetMode="External"/><Relationship Id="rId6" Type="http://schemas.openxmlformats.org/officeDocument/2006/relationships/hyperlink" Target="https://eur-lex.europa.eu/legal-content/EN/TXT/?uri=celex:52014DC0158" TargetMode="External"/><Relationship Id="rId5" Type="http://schemas.openxmlformats.org/officeDocument/2006/relationships/hyperlink" Target="https://advokatnidenik.cz/wp-content/uploads/Judgment-Zurek-v.-Poland-Polish-authorities-attempted-to-silence-well-known-judge.pdf" TargetMode="External"/><Relationship Id="rId4" Type="http://schemas.openxmlformats.org/officeDocument/2006/relationships/hyperlink" Target="https://www.venice.coe.int/webforms/documents/default.aspx?pdffile=CDL-PI" TargetMode="External"/><Relationship Id="rId9" Type="http://schemas.openxmlformats.org/officeDocument/2006/relationships/hyperlink" Target="https://gisreportsonline.com/r/hungary-eu-divide/"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367F-F7D9-4E08-AB03-2BC70D4C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11906</Words>
  <Characters>65488</Characters>
  <Application>Microsoft Office Word</Application>
  <DocSecurity>0</DocSecurity>
  <Lines>545</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Ivan Tot</Manager>
  <Company>Ekonomski fakultet Sveučilišta u Zagrebu</Company>
  <LinksUpToDate>false</LinksUpToDate>
  <CharactersWithSpaces>77240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Tot</dc:creator>
  <cp:keywords/>
  <dc:description/>
  <cp:lastModifiedBy>Usuario de Windows</cp:lastModifiedBy>
  <cp:revision>2</cp:revision>
  <cp:lastPrinted>2022-08-08T18:14:00Z</cp:lastPrinted>
  <dcterms:created xsi:type="dcterms:W3CDTF">2025-05-13T14:36:00Z</dcterms:created>
  <dcterms:modified xsi:type="dcterms:W3CDTF">2025-05-13T14:36:00Z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Ivan Tot</vt:lpwstr>
  </property>
  <property fmtid="{D5CDD505-2E9C-101B-9397-08002B2CF9AE}" pid="3" name="Publisher">
    <vt:lpwstr>Ekonomski fakultet Sveučilišta u Zagrebu</vt:lpwstr>
  </property>
  <property fmtid="{D5CDD505-2E9C-101B-9397-08002B2CF9AE}" pid="4" name="GrammarlyDocumentId">
    <vt:lpwstr>b875051b04bad1ae9dff40f9b3039e2558501f95b8960c686cf335a86f58fb75</vt:lpwstr>
  </property>
</Properties>
</file>