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6FF8" w14:textId="2E745D78" w:rsidR="00BB4F99" w:rsidRPr="00BB4F99" w:rsidRDefault="00BB4F99" w:rsidP="00BB4F99">
      <w:pPr>
        <w:spacing w:after="200" w:line="276" w:lineRule="auto"/>
        <w:jc w:val="center"/>
        <w:rPr>
          <w:rFonts w:ascii="Times New Roman" w:eastAsia="Calibri" w:hAnsi="Times New Roman" w:cs="Times New Roman"/>
          <w:b/>
          <w:bCs/>
          <w:sz w:val="28"/>
          <w:szCs w:val="28"/>
        </w:rPr>
      </w:pPr>
      <w:r w:rsidRPr="00BB4F99">
        <w:rPr>
          <w:rFonts w:ascii="Times New Roman" w:eastAsia="Calibri" w:hAnsi="Times New Roman" w:cs="Times New Roman"/>
          <w:b/>
          <w:bCs/>
          <w:sz w:val="28"/>
          <w:szCs w:val="28"/>
        </w:rPr>
        <w:t>Violência contra a mulher em Portugal: Linhas gerais e caminho a seguir</w:t>
      </w:r>
    </w:p>
    <w:p w14:paraId="5A47D1EB" w14:textId="44E27750" w:rsidR="00AC32D1" w:rsidRPr="00AC32D1" w:rsidRDefault="00AC32D1" w:rsidP="00AC32D1">
      <w:pPr>
        <w:spacing w:after="200" w:line="360" w:lineRule="auto"/>
        <w:jc w:val="right"/>
        <w:rPr>
          <w:rFonts w:ascii="Times New Roman" w:eastAsia="Calibri" w:hAnsi="Times New Roman" w:cs="Times New Roman"/>
          <w:b/>
          <w:bCs/>
          <w:noProof/>
          <w:sz w:val="24"/>
          <w:szCs w:val="24"/>
        </w:rPr>
      </w:pPr>
      <w:r w:rsidRPr="00AC32D1">
        <w:rPr>
          <w:rFonts w:ascii="Times New Roman" w:eastAsia="Calibri" w:hAnsi="Times New Roman" w:cs="Times New Roman"/>
          <w:b/>
          <w:bCs/>
          <w:noProof/>
          <w:sz w:val="24"/>
          <w:szCs w:val="24"/>
        </w:rPr>
        <w:t>Ana Sofia Gomes</w:t>
      </w:r>
      <w:r>
        <w:rPr>
          <w:rStyle w:val="Refdenotaderodap"/>
          <w:rFonts w:eastAsia="Calibri"/>
          <w:b/>
          <w:bCs/>
          <w:noProof/>
          <w:sz w:val="24"/>
          <w:szCs w:val="24"/>
        </w:rPr>
        <w:footnoteReference w:id="1"/>
      </w:r>
    </w:p>
    <w:p w14:paraId="49EFC84B" w14:textId="62E44ED4" w:rsidR="00BB4F99" w:rsidRPr="00B11184" w:rsidRDefault="00BB4F99" w:rsidP="00B11184">
      <w:pPr>
        <w:pStyle w:val="PargrafodaLista"/>
        <w:numPr>
          <w:ilvl w:val="0"/>
          <w:numId w:val="3"/>
        </w:numPr>
        <w:spacing w:after="200" w:line="360" w:lineRule="auto"/>
        <w:jc w:val="both"/>
        <w:rPr>
          <w:rFonts w:ascii="Times New Roman" w:eastAsia="Calibri" w:hAnsi="Times New Roman" w:cs="Times New Roman"/>
          <w:b/>
          <w:bCs/>
          <w:noProof/>
          <w:sz w:val="24"/>
          <w:szCs w:val="24"/>
        </w:rPr>
      </w:pPr>
      <w:r w:rsidRPr="00B11184">
        <w:rPr>
          <w:rFonts w:ascii="Times New Roman" w:eastAsia="Calibri" w:hAnsi="Times New Roman" w:cs="Times New Roman"/>
          <w:b/>
          <w:bCs/>
          <w:noProof/>
          <w:sz w:val="24"/>
          <w:szCs w:val="24"/>
        </w:rPr>
        <w:t>Introdução</w:t>
      </w:r>
    </w:p>
    <w:p w14:paraId="5A8D1D4B" w14:textId="25903BC6" w:rsidR="003304AF" w:rsidRDefault="00BB4F99" w:rsidP="00BB4F99">
      <w:pPr>
        <w:spacing w:line="360" w:lineRule="auto"/>
        <w:jc w:val="both"/>
        <w:rPr>
          <w:rFonts w:ascii="Times New Roman" w:eastAsia="Times New Roman" w:hAnsi="Times New Roman"/>
          <w:noProof/>
          <w:sz w:val="24"/>
          <w:szCs w:val="24"/>
          <w:lang w:eastAsia="pt-PT"/>
        </w:rPr>
      </w:pPr>
      <w:r>
        <w:rPr>
          <w:rFonts w:ascii="Times New Roman" w:hAnsi="Times New Roman"/>
          <w:noProof/>
          <w:sz w:val="24"/>
          <w:szCs w:val="24"/>
        </w:rPr>
        <w:t xml:space="preserve">A </w:t>
      </w:r>
      <w:r>
        <w:rPr>
          <w:rFonts w:ascii="Times New Roman" w:hAnsi="Times New Roman"/>
          <w:noProof/>
          <w:sz w:val="24"/>
          <w:szCs w:val="24"/>
        </w:rPr>
        <w:t xml:space="preserve">violência contra a mulher, em geral (e a violência doméstica, em particular), em Portugal e no mundo, não é um fenomeno recente. É, infelizmente, um fenómeno antigo e cada vez mais global. É um fenomeno transversal dentro de cada sociedade, afetando diferentes comunidades, com diversas origens históricas, com disparidades económicas, sociais e religiosas. Afecta a vitima de uma forma substancial, apenas por ser mulher, sujeitando-a a todo o tipo de sofrimento, nas suas diversas modalidades e limitando a sua liberdade. </w:t>
      </w:r>
      <w:r>
        <w:rPr>
          <w:rFonts w:ascii="Times New Roman" w:eastAsia="Times New Roman" w:hAnsi="Times New Roman"/>
          <w:noProof/>
          <w:sz w:val="24"/>
          <w:szCs w:val="24"/>
          <w:lang w:eastAsia="pt-PT"/>
        </w:rPr>
        <w:t>Toda a violência contra a mulher, ofende a dignidade humana</w:t>
      </w:r>
      <w:r>
        <w:rPr>
          <w:rFonts w:ascii="Times New Roman" w:eastAsia="Times New Roman" w:hAnsi="Times New Roman"/>
          <w:noProof/>
          <w:sz w:val="24"/>
          <w:szCs w:val="24"/>
          <w:lang w:eastAsia="pt-PT"/>
        </w:rPr>
        <w:t>.</w:t>
      </w:r>
    </w:p>
    <w:p w14:paraId="415A7C5E" w14:textId="06C8FE68" w:rsidR="00BB4F99" w:rsidRPr="00BB4F99" w:rsidRDefault="00BB4F99" w:rsidP="00B11184">
      <w:pPr>
        <w:spacing w:line="360" w:lineRule="auto"/>
        <w:jc w:val="both"/>
        <w:rPr>
          <w:rFonts w:ascii="Times New Roman" w:eastAsia="Calibri" w:hAnsi="Times New Roman" w:cs="Times New Roman"/>
          <w:noProof/>
          <w:sz w:val="24"/>
          <w:szCs w:val="24"/>
        </w:rPr>
      </w:pPr>
      <w:r>
        <w:rPr>
          <w:rFonts w:ascii="Times New Roman" w:eastAsia="Times New Roman" w:hAnsi="Times New Roman"/>
          <w:noProof/>
          <w:sz w:val="24"/>
          <w:szCs w:val="24"/>
          <w:lang w:eastAsia="pt-PT"/>
        </w:rPr>
        <w:t>Considerando a esc</w:t>
      </w:r>
      <w:r w:rsidR="00B11184">
        <w:rPr>
          <w:rFonts w:ascii="Times New Roman" w:eastAsia="Times New Roman" w:hAnsi="Times New Roman"/>
          <w:noProof/>
          <w:sz w:val="24"/>
          <w:szCs w:val="24"/>
          <w:lang w:eastAsia="pt-PT"/>
        </w:rPr>
        <w:t>a</w:t>
      </w:r>
      <w:r>
        <w:rPr>
          <w:rFonts w:ascii="Times New Roman" w:eastAsia="Times New Roman" w:hAnsi="Times New Roman"/>
          <w:noProof/>
          <w:sz w:val="24"/>
          <w:szCs w:val="24"/>
          <w:lang w:eastAsia="pt-PT"/>
        </w:rPr>
        <w:t xml:space="preserve">la simultaneamente transnacional e devastadora deste crime, </w:t>
      </w:r>
      <w:r w:rsidR="00B11184">
        <w:rPr>
          <w:rFonts w:ascii="Times New Roman" w:eastAsia="Times New Roman" w:hAnsi="Times New Roman"/>
          <w:noProof/>
          <w:sz w:val="24"/>
          <w:szCs w:val="24"/>
          <w:lang w:eastAsia="pt-PT"/>
        </w:rPr>
        <w:t>foi preparada</w:t>
      </w:r>
      <w:r w:rsidR="000504AA">
        <w:rPr>
          <w:rFonts w:ascii="Times New Roman" w:eastAsia="Times New Roman" w:hAnsi="Times New Roman"/>
          <w:noProof/>
          <w:sz w:val="24"/>
          <w:szCs w:val="24"/>
          <w:lang w:eastAsia="pt-PT"/>
        </w:rPr>
        <w:t>,</w:t>
      </w:r>
      <w:r w:rsidR="00B11184">
        <w:rPr>
          <w:rFonts w:ascii="Times New Roman" w:eastAsia="Times New Roman" w:hAnsi="Times New Roman"/>
          <w:noProof/>
          <w:sz w:val="24"/>
          <w:szCs w:val="24"/>
          <w:lang w:eastAsia="pt-PT"/>
        </w:rPr>
        <w:t xml:space="preserve"> </w:t>
      </w:r>
      <w:r>
        <w:rPr>
          <w:rFonts w:ascii="Times New Roman" w:eastAsia="Times New Roman" w:hAnsi="Times New Roman"/>
          <w:noProof/>
          <w:sz w:val="24"/>
          <w:szCs w:val="24"/>
          <w:lang w:eastAsia="pt-PT"/>
        </w:rPr>
        <w:t xml:space="preserve">sob o impulso do Conselho da Europa, </w:t>
      </w:r>
      <w:r w:rsidR="000504AA">
        <w:rPr>
          <w:rFonts w:ascii="Times New Roman" w:eastAsia="Times New Roman" w:hAnsi="Times New Roman"/>
          <w:noProof/>
          <w:sz w:val="24"/>
          <w:szCs w:val="24"/>
          <w:lang w:eastAsia="pt-PT"/>
        </w:rPr>
        <w:t xml:space="preserve">a </w:t>
      </w:r>
      <w:r w:rsidR="00B11184" w:rsidRPr="00BB4F99">
        <w:rPr>
          <w:rFonts w:ascii="Times New Roman" w:eastAsia="Times New Roman" w:hAnsi="Times New Roman" w:cs="Times New Roman"/>
          <w:noProof/>
          <w:kern w:val="36"/>
          <w:sz w:val="24"/>
          <w:szCs w:val="24"/>
          <w:lang w:eastAsia="pt-PT"/>
        </w:rPr>
        <w:t>Convenção para a</w:t>
      </w:r>
      <w:r w:rsidR="00B11184" w:rsidRPr="00BB4F99">
        <w:rPr>
          <w:rFonts w:ascii="Arial" w:eastAsia="Calibri" w:hAnsi="Arial" w:cs="Arial"/>
          <w:color w:val="4D5156"/>
          <w:sz w:val="21"/>
          <w:szCs w:val="21"/>
          <w:shd w:val="clear" w:color="auto" w:fill="FFFFFF"/>
        </w:rPr>
        <w:t xml:space="preserve"> </w:t>
      </w:r>
      <w:r w:rsidR="00B11184" w:rsidRPr="00BB4F99">
        <w:rPr>
          <w:rFonts w:ascii="Times New Roman" w:eastAsia="Times New Roman" w:hAnsi="Times New Roman" w:cs="Times New Roman"/>
          <w:noProof/>
          <w:kern w:val="36"/>
          <w:sz w:val="24"/>
          <w:szCs w:val="24"/>
          <w:lang w:eastAsia="pt-PT"/>
        </w:rPr>
        <w:t>prevenção e o combate à violência contra as mulheres e a violência doméstica</w:t>
      </w:r>
      <w:r w:rsidR="000504AA">
        <w:rPr>
          <w:rFonts w:ascii="Times New Roman" w:eastAsia="Times New Roman" w:hAnsi="Times New Roman" w:cs="Times New Roman"/>
          <w:noProof/>
          <w:kern w:val="36"/>
          <w:sz w:val="24"/>
          <w:szCs w:val="24"/>
          <w:lang w:eastAsia="pt-PT"/>
        </w:rPr>
        <w:t>, que</w:t>
      </w:r>
      <w:r w:rsidR="00B11184">
        <w:rPr>
          <w:rFonts w:ascii="Times New Roman" w:eastAsia="Times New Roman" w:hAnsi="Times New Roman" w:cs="Times New Roman"/>
          <w:noProof/>
          <w:kern w:val="36"/>
          <w:sz w:val="24"/>
          <w:szCs w:val="24"/>
          <w:lang w:eastAsia="pt-PT"/>
        </w:rPr>
        <w:t xml:space="preserve"> foi </w:t>
      </w:r>
      <w:r w:rsidR="000504AA" w:rsidRPr="000504AA">
        <w:rPr>
          <w:rFonts w:ascii="Times New Roman" w:eastAsia="Times New Roman" w:hAnsi="Times New Roman" w:cs="Times New Roman"/>
          <w:noProof/>
          <w:kern w:val="36"/>
          <w:sz w:val="24"/>
          <w:szCs w:val="24"/>
          <w:lang w:eastAsia="pt-PT"/>
        </w:rPr>
        <w:t>a</w:t>
      </w:r>
      <w:r w:rsidR="00B11184" w:rsidRPr="000504AA">
        <w:rPr>
          <w:rFonts w:ascii="Times New Roman" w:hAnsi="Times New Roman" w:cs="Times New Roman"/>
          <w:sz w:val="24"/>
          <w:szCs w:val="24"/>
        </w:rPr>
        <w:t>dotada pelo Comité de Ministros do Conselho de Europa em 7 de abril de 2011 e aberta à assinatura em Istambul, em 11 de maio do mesmo ano</w:t>
      </w:r>
      <w:r w:rsidR="00B11184" w:rsidRPr="000504AA">
        <w:rPr>
          <w:rFonts w:ascii="Times New Roman" w:hAnsi="Times New Roman" w:cs="Times New Roman"/>
          <w:sz w:val="24"/>
          <w:szCs w:val="24"/>
        </w:rPr>
        <w:t>.</w:t>
      </w:r>
      <w:r w:rsidRPr="00BB4F99">
        <w:rPr>
          <w:rFonts w:ascii="Times New Roman" w:eastAsia="Times New Roman" w:hAnsi="Times New Roman" w:cs="Times New Roman"/>
          <w:noProof/>
          <w:kern w:val="36"/>
          <w:sz w:val="24"/>
          <w:szCs w:val="24"/>
          <w:lang w:eastAsia="pt-PT"/>
        </w:rPr>
        <w:t xml:space="preserve"> Esta Convenção, que constitui atualmente o instrumento juridico mais importante à escala mundial, no</w:t>
      </w:r>
      <w:r w:rsidR="000504AA">
        <w:rPr>
          <w:rFonts w:ascii="Times New Roman" w:eastAsia="Times New Roman" w:hAnsi="Times New Roman" w:cs="Times New Roman"/>
          <w:noProof/>
          <w:kern w:val="36"/>
          <w:sz w:val="24"/>
          <w:szCs w:val="24"/>
          <w:lang w:eastAsia="pt-PT"/>
        </w:rPr>
        <w:t xml:space="preserve"> seu âmbito de aplicação</w:t>
      </w:r>
      <w:r w:rsidRPr="00BB4F99">
        <w:rPr>
          <w:rFonts w:ascii="Times New Roman" w:eastAsia="Times New Roman" w:hAnsi="Times New Roman" w:cs="Times New Roman"/>
          <w:noProof/>
          <w:kern w:val="36"/>
          <w:sz w:val="24"/>
          <w:szCs w:val="24"/>
          <w:lang w:eastAsia="pt-PT"/>
        </w:rPr>
        <w:t>, considera três tipos fundamentais de violência contra a mulher: a violência contra a mulher, a violência doméstica e a violência de género.</w:t>
      </w:r>
    </w:p>
    <w:p w14:paraId="3F88CE3B" w14:textId="7960C64F" w:rsidR="00BB4F99" w:rsidRDefault="00BB4F99" w:rsidP="00BB4F99">
      <w:pPr>
        <w:spacing w:line="360" w:lineRule="auto"/>
        <w:jc w:val="both"/>
        <w:rPr>
          <w:rFonts w:ascii="Times New Roman" w:eastAsia="Times New Roman" w:hAnsi="Times New Roman"/>
          <w:noProof/>
          <w:kern w:val="36"/>
          <w:sz w:val="24"/>
          <w:szCs w:val="24"/>
          <w:lang w:eastAsia="pt-PT"/>
        </w:rPr>
      </w:pPr>
      <w:r>
        <w:rPr>
          <w:rFonts w:ascii="Times New Roman" w:hAnsi="Times New Roman"/>
          <w:noProof/>
          <w:sz w:val="24"/>
          <w:szCs w:val="24"/>
        </w:rPr>
        <w:t>Ao consagrar a violência contra a mulher como uma violação de direitos humanos, a Convenção reforça, de modo muito significativo, a proteção da vítima. A consagração de disposições de natureza imperativa é essencial para o alcance do nível de proteção desejado, uma vez que impõe a alteração dos direitos internos dos Estados nos quais a Convenção se encontra em vigor, mediante a introdução na respetiva legislação interna de todos os tipos criminais na mesma previstos. A atribuição do papel de supervisor da sua boa aplicação pelos Estados ao</w:t>
      </w:r>
      <w:r>
        <w:rPr>
          <w:rFonts w:ascii="Times New Roman" w:eastAsia="Times New Roman" w:hAnsi="Times New Roman"/>
          <w:noProof/>
          <w:kern w:val="36"/>
          <w:sz w:val="24"/>
          <w:szCs w:val="24"/>
          <w:lang w:eastAsia="pt-PT"/>
        </w:rPr>
        <w:t xml:space="preserve"> </w:t>
      </w:r>
      <w:r>
        <w:rPr>
          <w:rFonts w:ascii="Times New Roman" w:eastAsia="Times New Roman" w:hAnsi="Times New Roman"/>
          <w:noProof/>
          <w:sz w:val="24"/>
          <w:szCs w:val="24"/>
          <w:lang w:eastAsia="pt-PT"/>
        </w:rPr>
        <w:t>Tribunal Europeu de Direitos Humanos (TEDH), funciona como una garantía adicional de alcance dos seus objetivos</w:t>
      </w:r>
      <w:r>
        <w:rPr>
          <w:rFonts w:ascii="Times New Roman" w:eastAsia="Times New Roman" w:hAnsi="Times New Roman"/>
          <w:noProof/>
          <w:kern w:val="36"/>
          <w:sz w:val="24"/>
          <w:szCs w:val="24"/>
          <w:lang w:eastAsia="pt-PT"/>
        </w:rPr>
        <w:t>.</w:t>
      </w:r>
    </w:p>
    <w:p w14:paraId="7591A2FE" w14:textId="49D127AA" w:rsidR="00BB4F99" w:rsidRDefault="00BB4F99" w:rsidP="00BB4F99">
      <w:pPr>
        <w:spacing w:line="360" w:lineRule="auto"/>
        <w:jc w:val="both"/>
        <w:rPr>
          <w:rFonts w:ascii="Times New Roman" w:eastAsia="Times New Roman" w:hAnsi="Times New Roman" w:cs="Times New Roman"/>
          <w:noProof/>
          <w:kern w:val="36"/>
          <w:sz w:val="24"/>
          <w:szCs w:val="24"/>
          <w:lang w:eastAsia="pt-PT"/>
        </w:rPr>
      </w:pPr>
      <w:r w:rsidRPr="00B11184">
        <w:rPr>
          <w:rFonts w:ascii="Times New Roman" w:eastAsia="Times New Roman" w:hAnsi="Times New Roman" w:cs="Times New Roman"/>
          <w:noProof/>
          <w:kern w:val="36"/>
          <w:sz w:val="24"/>
          <w:szCs w:val="24"/>
          <w:lang w:eastAsia="pt-PT"/>
        </w:rPr>
        <w:t>A previsão das principais formas de violência contra a mulher como crimes, como é o caso da mutilação genital femenina (artigo 38.º), o casamento forçado (artigo</w:t>
      </w:r>
      <w:r w:rsidRPr="00B11184">
        <w:rPr>
          <w:rFonts w:ascii="Times New Roman" w:eastAsia="Calibri" w:hAnsi="Times New Roman" w:cs="Times New Roman"/>
          <w:noProof/>
          <w:sz w:val="24"/>
          <w:szCs w:val="24"/>
          <w:shd w:val="clear" w:color="auto" w:fill="FFFFFF"/>
          <w:lang w:eastAsia="pt-PT"/>
        </w:rPr>
        <w:t xml:space="preserve"> 37.º), o aborto forçado e a esterilização forçada (artigo 39.º)</w:t>
      </w:r>
      <w:r w:rsidRPr="00B11184">
        <w:rPr>
          <w:rFonts w:ascii="Times New Roman" w:eastAsia="Calibri" w:hAnsi="Times New Roman" w:cs="Times New Roman"/>
          <w:noProof/>
          <w:sz w:val="24"/>
          <w:szCs w:val="24"/>
          <w:lang w:eastAsia="pt-PT"/>
        </w:rPr>
        <w:t xml:space="preserve">, o assédio </w:t>
      </w:r>
      <w:r w:rsidRPr="00B11184">
        <w:rPr>
          <w:rFonts w:ascii="Times New Roman" w:eastAsia="Calibri" w:hAnsi="Times New Roman" w:cs="Times New Roman"/>
          <w:noProof/>
          <w:sz w:val="24"/>
          <w:szCs w:val="24"/>
          <w:shd w:val="clear" w:color="auto" w:fill="FFFFFF"/>
          <w:lang w:eastAsia="pt-PT"/>
        </w:rPr>
        <w:t>(art. 40.º),</w:t>
      </w:r>
      <w:r w:rsidRPr="00B11184">
        <w:rPr>
          <w:rFonts w:ascii="Times New Roman" w:eastAsia="Calibri" w:hAnsi="Times New Roman" w:cs="Times New Roman"/>
          <w:noProof/>
          <w:sz w:val="24"/>
          <w:szCs w:val="24"/>
          <w:lang w:eastAsia="pt-PT"/>
        </w:rPr>
        <w:t xml:space="preserve"> a </w:t>
      </w:r>
      <w:r w:rsidRPr="00B11184">
        <w:rPr>
          <w:rFonts w:ascii="Times New Roman" w:eastAsia="Calibri" w:hAnsi="Times New Roman" w:cs="Times New Roman"/>
          <w:noProof/>
          <w:sz w:val="24"/>
          <w:szCs w:val="24"/>
          <w:shd w:val="clear" w:color="auto" w:fill="FFFFFF"/>
          <w:lang w:eastAsia="pt-PT"/>
        </w:rPr>
        <w:t xml:space="preserve">violência </w:t>
      </w:r>
      <w:r w:rsidRPr="00B11184">
        <w:rPr>
          <w:rFonts w:ascii="Times New Roman" w:eastAsia="Calibri" w:hAnsi="Times New Roman" w:cs="Times New Roman"/>
          <w:noProof/>
          <w:sz w:val="24"/>
          <w:szCs w:val="24"/>
          <w:shd w:val="clear" w:color="auto" w:fill="FFFFFF"/>
          <w:lang w:eastAsia="pt-PT"/>
        </w:rPr>
        <w:lastRenderedPageBreak/>
        <w:t>física (artigo 35.º), psicológica (artigo 33.º) e sexual, incluindo a violação (artigo 36.º)</w:t>
      </w:r>
      <w:r w:rsidRPr="00B11184">
        <w:rPr>
          <w:rFonts w:ascii="Times New Roman" w:eastAsia="Times New Roman" w:hAnsi="Times New Roman" w:cs="Times New Roman"/>
          <w:noProof/>
          <w:kern w:val="36"/>
          <w:sz w:val="24"/>
          <w:szCs w:val="24"/>
          <w:lang w:eastAsia="pt-PT"/>
        </w:rPr>
        <w:t xml:space="preserve">, assume um papel fundamental no que respeita à unificação da legislação dos Estados que decidem </w:t>
      </w:r>
      <w:r w:rsidRPr="00BB4F99">
        <w:rPr>
          <w:rFonts w:ascii="Times New Roman" w:eastAsia="Times New Roman" w:hAnsi="Times New Roman" w:cs="Times New Roman"/>
          <w:noProof/>
          <w:kern w:val="36"/>
          <w:sz w:val="24"/>
          <w:szCs w:val="24"/>
          <w:lang w:eastAsia="pt-PT"/>
        </w:rPr>
        <w:t>tornar-se parte da Convenção.</w:t>
      </w:r>
    </w:p>
    <w:p w14:paraId="3BC50951" w14:textId="1194FE71" w:rsidR="00BB4F99" w:rsidRPr="00410137" w:rsidRDefault="00BB4F99" w:rsidP="00B11184">
      <w:pPr>
        <w:pStyle w:val="PargrafodaLista"/>
        <w:numPr>
          <w:ilvl w:val="0"/>
          <w:numId w:val="2"/>
        </w:numPr>
        <w:shd w:val="clear" w:color="auto" w:fill="FFFFFF"/>
        <w:spacing w:before="100" w:beforeAutospacing="1" w:after="100" w:afterAutospacing="1" w:line="360" w:lineRule="auto"/>
        <w:jc w:val="both"/>
        <w:rPr>
          <w:rFonts w:ascii="Times New Roman" w:eastAsia="Calibri" w:hAnsi="Times New Roman" w:cs="Times New Roman"/>
          <w:b/>
          <w:bCs/>
          <w:noProof/>
          <w:sz w:val="24"/>
          <w:szCs w:val="24"/>
          <w:lang w:eastAsia="pt-PT"/>
        </w:rPr>
      </w:pPr>
      <w:r w:rsidRPr="00410137">
        <w:rPr>
          <w:rFonts w:ascii="Times New Roman" w:eastAsia="Times New Roman" w:hAnsi="Times New Roman" w:cs="Times New Roman"/>
          <w:b/>
          <w:bCs/>
          <w:noProof/>
          <w:kern w:val="36"/>
          <w:sz w:val="24"/>
          <w:szCs w:val="24"/>
          <w:lang w:eastAsia="pt-PT"/>
        </w:rPr>
        <w:t>A violência contra a mulher em Portugal</w:t>
      </w:r>
    </w:p>
    <w:p w14:paraId="11033169" w14:textId="6C754106" w:rsidR="00BB4F99" w:rsidRPr="00BB4F99" w:rsidRDefault="00BB4F99" w:rsidP="00BB4F99">
      <w:pPr>
        <w:shd w:val="clear" w:color="auto" w:fill="FFFFFF" w:themeFill="background1"/>
        <w:spacing w:before="100" w:beforeAutospacing="1" w:after="100" w:afterAutospacing="1" w:line="360" w:lineRule="auto"/>
        <w:jc w:val="both"/>
        <w:rPr>
          <w:rFonts w:ascii="Times New Roman" w:eastAsia="Times New Roman" w:hAnsi="Times New Roman" w:cs="Times New Roman"/>
          <w:noProof/>
          <w:kern w:val="36"/>
          <w:sz w:val="24"/>
          <w:szCs w:val="24"/>
          <w:lang w:eastAsia="pt-PT"/>
        </w:rPr>
      </w:pPr>
      <w:r w:rsidRPr="00BB4F99">
        <w:rPr>
          <w:rFonts w:ascii="Times New Roman" w:eastAsia="Times New Roman" w:hAnsi="Times New Roman" w:cs="Times New Roman"/>
          <w:noProof/>
          <w:kern w:val="36"/>
          <w:sz w:val="24"/>
          <w:szCs w:val="24"/>
          <w:lang w:eastAsia="pt-PT"/>
        </w:rPr>
        <w:t xml:space="preserve">A legislação portuguesa prevé todas as formas de violência contra a mulher incluídas na Convenção de Istambul. Com a finalidade de adaptar o Código Penal portugués à Convenção de Istambul, foi aprovada a Lei n.º 83/2015, que autonomizou o crime de mutilação genital femenina, introduzindo, no nosso ordenamento jurídico, os crímes de </w:t>
      </w:r>
      <w:r w:rsidRPr="00BB4F99">
        <w:rPr>
          <w:rFonts w:ascii="Times New Roman" w:eastAsia="Times New Roman" w:hAnsi="Times New Roman" w:cs="Times New Roman"/>
          <w:noProof/>
          <w:sz w:val="24"/>
          <w:szCs w:val="24"/>
          <w:shd w:val="clear" w:color="auto" w:fill="FFFFFF"/>
          <w:lang w:eastAsia="pt-PT"/>
        </w:rPr>
        <w:t>perseguição, casamento forçado e alterando os crímes de violação, coação e importunação sexual</w:t>
      </w:r>
      <w:r w:rsidRPr="00BB4F99">
        <w:rPr>
          <w:rFonts w:ascii="Times New Roman" w:eastAsia="Times New Roman" w:hAnsi="Times New Roman" w:cs="Times New Roman"/>
          <w:noProof/>
          <w:kern w:val="36"/>
          <w:sz w:val="24"/>
          <w:szCs w:val="24"/>
          <w:lang w:eastAsia="pt-PT"/>
        </w:rPr>
        <w:t xml:space="preserve"> e outr</w:t>
      </w:r>
      <w:r w:rsidR="00B11184">
        <w:rPr>
          <w:rFonts w:ascii="Times New Roman" w:eastAsia="Times New Roman" w:hAnsi="Times New Roman" w:cs="Times New Roman"/>
          <w:noProof/>
          <w:kern w:val="36"/>
          <w:sz w:val="24"/>
          <w:szCs w:val="24"/>
          <w:lang w:eastAsia="pt-PT"/>
        </w:rPr>
        <w:t>o</w:t>
      </w:r>
      <w:r w:rsidRPr="00BB4F99">
        <w:rPr>
          <w:rFonts w:ascii="Times New Roman" w:eastAsia="Times New Roman" w:hAnsi="Times New Roman" w:cs="Times New Roman"/>
          <w:noProof/>
          <w:kern w:val="36"/>
          <w:sz w:val="24"/>
          <w:szCs w:val="24"/>
          <w:lang w:eastAsia="pt-PT"/>
        </w:rPr>
        <w:t>s não expres</w:t>
      </w:r>
      <w:r w:rsidR="00B11184">
        <w:rPr>
          <w:rFonts w:ascii="Times New Roman" w:eastAsia="Times New Roman" w:hAnsi="Times New Roman" w:cs="Times New Roman"/>
          <w:noProof/>
          <w:kern w:val="36"/>
          <w:sz w:val="24"/>
          <w:szCs w:val="24"/>
          <w:lang w:eastAsia="pt-PT"/>
        </w:rPr>
        <w:t>s</w:t>
      </w:r>
      <w:r w:rsidRPr="00BB4F99">
        <w:rPr>
          <w:rFonts w:ascii="Times New Roman" w:eastAsia="Times New Roman" w:hAnsi="Times New Roman" w:cs="Times New Roman"/>
          <w:noProof/>
          <w:kern w:val="36"/>
          <w:sz w:val="24"/>
          <w:szCs w:val="24"/>
          <w:lang w:eastAsia="pt-PT"/>
        </w:rPr>
        <w:t xml:space="preserve">amente contempladas nesse instrumento internacional. Como antes referimos, no presente trabalho vamos centrar a nossa atenção no crime de violência doméstica. Para além da sua previsão legal, encontra-se organizada no ordenamento juridico português, uma complexa estrutura de cooperação entre autoridades, com responsabilidades em diversas áreas sociais, tendo como objetivo a prevenção e deteção precce de situacões de violência e ainda de apoio e de proteção à vítima. </w:t>
      </w:r>
    </w:p>
    <w:p w14:paraId="1E8F5A1D" w14:textId="4D8E5D9D" w:rsidR="00BB4F99" w:rsidRPr="00B11184" w:rsidRDefault="00BB4F99" w:rsidP="00B11184">
      <w:pPr>
        <w:pStyle w:val="PargrafodaLista"/>
        <w:numPr>
          <w:ilvl w:val="0"/>
          <w:numId w:val="2"/>
        </w:numPr>
        <w:spacing w:after="0" w:line="360" w:lineRule="auto"/>
        <w:jc w:val="both"/>
        <w:rPr>
          <w:rFonts w:ascii="Times New Roman" w:eastAsia="Calibri" w:hAnsi="Times New Roman" w:cs="Times New Roman"/>
          <w:b/>
          <w:bCs/>
          <w:noProof/>
          <w:sz w:val="24"/>
          <w:szCs w:val="24"/>
        </w:rPr>
      </w:pPr>
      <w:r w:rsidRPr="00B11184">
        <w:rPr>
          <w:rFonts w:ascii="Times New Roman" w:eastAsia="Calibri" w:hAnsi="Times New Roman" w:cs="Times New Roman"/>
          <w:b/>
          <w:bCs/>
          <w:noProof/>
          <w:sz w:val="24"/>
          <w:szCs w:val="24"/>
        </w:rPr>
        <w:t xml:space="preserve">Conceito e tipo legal de crime </w:t>
      </w:r>
    </w:p>
    <w:p w14:paraId="7C80D7EF" w14:textId="77777777"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 xml:space="preserve">O crime de violência doméstica encontra-se previsto atualmente no Capítulo III (“Crímes contra a integridade física”), do Título I (“Crímes contra as pessoas”), da Parte Especial do Código Penal portugués. </w:t>
      </w:r>
    </w:p>
    <w:p w14:paraId="75E8DE03" w14:textId="472879EE"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No que respeita ao bem jurídico protegido e à natureza deste tipo de crime, a doutrina e a jurisprud</w:t>
      </w:r>
      <w:r>
        <w:rPr>
          <w:rFonts w:ascii="Times New Roman" w:eastAsia="Calibri" w:hAnsi="Times New Roman" w:cs="Times New Roman"/>
          <w:noProof/>
          <w:sz w:val="24"/>
          <w:szCs w:val="24"/>
        </w:rPr>
        <w:t>ên</w:t>
      </w:r>
      <w:r w:rsidRPr="00BB4F99">
        <w:rPr>
          <w:rFonts w:ascii="Times New Roman" w:eastAsia="Calibri" w:hAnsi="Times New Roman" w:cs="Times New Roman"/>
          <w:noProof/>
          <w:sz w:val="24"/>
          <w:szCs w:val="24"/>
        </w:rPr>
        <w:t xml:space="preserve">cia dominantes foram variando ao longo do tempo.Assistiu-se à defesa de que o bem juridico protegido neste tipo de crime é a defesa da comunidade familiar ou a sociedade conjugal, ou a saúde da mulher, numa acepção ampla, que engloba várias vertentes, e que repousa sobre a proteção da integridade física e psiquica, assim como na proteção da liberdade pessoal no que respeita à autodeterminação sexual e à honra. A posição dominante na jurisprudência portuguesa é a que considera que o bem juridico protegido pelo crime de violência doméstica é plural e complexo, protege-se a integridade pessoal nas suas vertentes física, psiquica e mental, consideradas invioláveis pelo artigo 25.º, n.º 1 da Constituição da República Portuguesa. </w:t>
      </w:r>
    </w:p>
    <w:p w14:paraId="019A1267" w14:textId="76DA673D"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 xml:space="preserve">Nestes termos, a previsão atual do artigo 152.º do Código Penal, qualifica como crime a conduta de quem inflinja maus tratos físicos ou psíquicos, incluindo castigos corporais, </w:t>
      </w:r>
      <w:r w:rsidRPr="00BB4F99">
        <w:rPr>
          <w:rFonts w:ascii="Times New Roman" w:eastAsia="Calibri" w:hAnsi="Times New Roman" w:cs="Times New Roman"/>
          <w:noProof/>
          <w:sz w:val="24"/>
          <w:szCs w:val="24"/>
        </w:rPr>
        <w:lastRenderedPageBreak/>
        <w:t>privações de liberdade e ofensas sexuais, continuados ou não, a pessoas em certas situações especificas. As vítimas tanto podem ser casadas, como separadas ou divorciadas, independentemente do seu sexo, o que está em linha com a consagração do casamento entre pessoas do mesmo sexo, que no ordenamento juridico português foi introduzido pela lei n.º 9/2010, de 31 de maio. A vítima pode ser também a pessoa com quem o agente mantenha ou tenha mantido uma relação de namoro, querida por ambos ou uma relação análoga à dos conjuges, ainda que sem coabitação, ou o progenitor de descendente comum em primeiro grau ou pessoa particularmente indefesa, devido à sua idade, deficiência, doença, gravidez ou dependência económica, que com ele coabite.</w:t>
      </w:r>
    </w:p>
    <w:p w14:paraId="0EC0AFE5" w14:textId="714CDF38" w:rsidR="00BB4F99" w:rsidRPr="00BB4F99" w:rsidRDefault="00BB4F99" w:rsidP="00BB4F99">
      <w:pPr>
        <w:shd w:val="clear" w:color="auto" w:fill="FFFFFF"/>
        <w:spacing w:before="100" w:beforeAutospacing="1" w:after="100" w:afterAutospacing="1" w:line="360" w:lineRule="auto"/>
        <w:jc w:val="both"/>
        <w:rPr>
          <w:rFonts w:ascii="Times New Roman" w:eastAsia="Times New Roman" w:hAnsi="Times New Roman" w:cs="Times New Roman"/>
          <w:noProof/>
          <w:sz w:val="24"/>
          <w:szCs w:val="24"/>
          <w:lang w:eastAsia="pt-PT"/>
        </w:rPr>
      </w:pPr>
      <w:r w:rsidRPr="00BB4F99">
        <w:rPr>
          <w:rFonts w:ascii="Times New Roman" w:eastAsia="Times New Roman" w:hAnsi="Times New Roman" w:cs="Times New Roman"/>
          <w:noProof/>
          <w:sz w:val="24"/>
          <w:szCs w:val="24"/>
          <w:lang w:eastAsia="pt-PT"/>
        </w:rPr>
        <w:t>Esses comportamentos podem manifestar-se sobre a forma de maus tratos físicos ou psiquicos, ameaças, injúrias, difamação, coação, abusos sexuais ou perturbação da vida privada, qualquer que seja a perturbação causada. Incluem-se nesta última situação, as ameaças de difusão de video e conversas privadas, segredos, factos privados, o controlo de telefonemas, de correio electronico, de localização de veículo, entre outros.</w:t>
      </w:r>
    </w:p>
    <w:p w14:paraId="112899B2" w14:textId="77777777"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 xml:space="preserve">A punição é de 1 a 5 anos (n.º 1), mas eleva-se no seu limite mínimo em certas circunstâncias particulares, nas quais se incluem as circunstâncias que se desenvolvam contra um menor ou na sua presença, no domicilio comum ou no domicilio da vitima ou através da difusão na internet ou de outros meios de difusão pública generalizada, de dados pessoais, como sejam imagens, sons, respeitantes à intimidade da vida privada da vitima, sem o seu consentimento. </w:t>
      </w:r>
    </w:p>
    <w:p w14:paraId="5D9CF4CD" w14:textId="77777777"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Se da conduta resultar a morte, prevé-se uma agravação da pena em função do resultado, passando a pena a ser de 3 a 10 anos, ou ofensa à integridade física grave, elevando-se a pena para 2 a 8 anos.</w:t>
      </w:r>
    </w:p>
    <w:p w14:paraId="601C16D2" w14:textId="07D890B0" w:rsidR="00BB4F99" w:rsidRPr="00B11184" w:rsidRDefault="00BB4F99" w:rsidP="00B11184">
      <w:pPr>
        <w:pStyle w:val="PargrafodaLista"/>
        <w:numPr>
          <w:ilvl w:val="0"/>
          <w:numId w:val="2"/>
        </w:numPr>
        <w:rPr>
          <w:rFonts w:ascii="Times New Roman" w:hAnsi="Times New Roman" w:cs="Times New Roman"/>
          <w:b/>
          <w:bCs/>
          <w:sz w:val="24"/>
          <w:szCs w:val="24"/>
        </w:rPr>
      </w:pPr>
      <w:r w:rsidRPr="00B11184">
        <w:rPr>
          <w:rFonts w:ascii="Times New Roman" w:hAnsi="Times New Roman" w:cs="Times New Roman"/>
          <w:b/>
          <w:bCs/>
          <w:sz w:val="24"/>
          <w:szCs w:val="24"/>
        </w:rPr>
        <w:t>Falta de consciência da Ilicitude</w:t>
      </w:r>
    </w:p>
    <w:p w14:paraId="035A3FBF" w14:textId="03BCFCF0" w:rsid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O artigo 17.º n.º 2 do Código Penal portugués, prevé que atua sem culpa quem age sem consciência da ilicitude, se o erro não lhe for censurável.</w:t>
      </w:r>
      <w:r w:rsidRPr="00BB4F99">
        <w:rPr>
          <w:rFonts w:ascii="Times New Roman" w:eastAsia="Calibri" w:hAnsi="Times New Roman" w:cs="Times New Roman"/>
          <w:noProof/>
          <w:sz w:val="24"/>
          <w:szCs w:val="24"/>
          <w:shd w:val="clear" w:color="auto" w:fill="FFFFFF"/>
        </w:rPr>
        <w:t xml:space="preserve"> Se for censurável, o agente é punido com a pena aplicável ao crime doloso, podendo a mesma ser especialmente atenuada.</w:t>
      </w:r>
      <w:r w:rsidRPr="00BB4F99">
        <w:rPr>
          <w:rFonts w:ascii="Times New Roman" w:eastAsia="Calibri" w:hAnsi="Times New Roman" w:cs="Times New Roman"/>
          <w:noProof/>
          <w:sz w:val="24"/>
          <w:szCs w:val="24"/>
        </w:rPr>
        <w:t xml:space="preserve"> A atenuação especial da pena não deve aplicar-se se se verifica que o agente violou regras internas ou internacionais que consagram direitos humanos, como é o caso de princípios universais –éticos–, consagrados constitucionalmente ao nivel interno e internacional e, mais concretamente, como sucede com os princípios incluídos na </w:t>
      </w:r>
      <w:r w:rsidRPr="00BB4F99">
        <w:rPr>
          <w:rFonts w:ascii="Times New Roman" w:eastAsia="Calibri" w:hAnsi="Times New Roman" w:cs="Times New Roman"/>
          <w:noProof/>
          <w:sz w:val="24"/>
          <w:szCs w:val="24"/>
        </w:rPr>
        <w:lastRenderedPageBreak/>
        <w:t>Convenção de Istambul</w:t>
      </w:r>
      <w:r w:rsidRPr="00BB4F99">
        <w:rPr>
          <w:rFonts w:ascii="Times New Roman" w:eastAsia="Calibri" w:hAnsi="Times New Roman" w:cs="Times New Roman"/>
          <w:noProof/>
          <w:sz w:val="24"/>
          <w:szCs w:val="24"/>
          <w:vertAlign w:val="superscript"/>
          <w:lang w:val="es-ES"/>
        </w:rPr>
        <w:footnoteReference w:id="2"/>
      </w:r>
      <w:r w:rsidRPr="00BB4F99">
        <w:rPr>
          <w:rFonts w:ascii="Times New Roman" w:eastAsia="Calibri" w:hAnsi="Times New Roman" w:cs="Times New Roman"/>
          <w:noProof/>
          <w:sz w:val="24"/>
          <w:szCs w:val="24"/>
        </w:rPr>
        <w:t>. A possibilidade de invocação da falta de consciência da ilicitude, como fundamento de atenuação da pena aplicável, encontra-se prevista no artigo 17.º, n.º 2, do Código de Proceso Penal portugués. No entanto, e quanto à sua aplicação no âmbito do crime de violência doméstica, a mesma foi liminarmente rejeitada pelo Tribunal da Relação de Lisboa, por violação da proibição de tratamentos crueis e degradantes, consagrada nos artigos 1.º e 25.º da Constituição da República Portuguesa e os valores protegidos pelos artigos 1.º, 4.º e 12.º da Convenção de Istambul</w:t>
      </w:r>
      <w:r w:rsidRPr="00BB4F99">
        <w:rPr>
          <w:rFonts w:ascii="Times New Roman" w:eastAsia="Calibri" w:hAnsi="Times New Roman" w:cs="Times New Roman"/>
          <w:noProof/>
          <w:sz w:val="24"/>
          <w:szCs w:val="24"/>
          <w:vertAlign w:val="superscript"/>
          <w:lang w:val="es-ES"/>
        </w:rPr>
        <w:footnoteReference w:id="3"/>
      </w:r>
      <w:r w:rsidRPr="00BB4F99">
        <w:rPr>
          <w:rFonts w:ascii="Times New Roman" w:eastAsia="Calibri" w:hAnsi="Times New Roman" w:cs="Times New Roman"/>
          <w:noProof/>
          <w:sz w:val="24"/>
          <w:szCs w:val="24"/>
        </w:rPr>
        <w:t xml:space="preserve">. </w:t>
      </w:r>
    </w:p>
    <w:p w14:paraId="3D110649" w14:textId="3EB39487" w:rsidR="00BB4F99" w:rsidRPr="00B11184" w:rsidRDefault="00BB4F99" w:rsidP="00B11184">
      <w:pPr>
        <w:pStyle w:val="PargrafodaLista"/>
        <w:numPr>
          <w:ilvl w:val="0"/>
          <w:numId w:val="2"/>
        </w:numPr>
        <w:spacing w:after="200" w:line="360" w:lineRule="auto"/>
        <w:jc w:val="both"/>
        <w:rPr>
          <w:rFonts w:ascii="Times New Roman" w:eastAsia="Calibri" w:hAnsi="Times New Roman" w:cs="Times New Roman"/>
          <w:b/>
          <w:bCs/>
          <w:noProof/>
          <w:sz w:val="24"/>
          <w:szCs w:val="24"/>
        </w:rPr>
      </w:pPr>
      <w:r w:rsidRPr="00B11184">
        <w:rPr>
          <w:rFonts w:ascii="Times New Roman" w:eastAsia="Calibri" w:hAnsi="Times New Roman" w:cs="Times New Roman"/>
          <w:b/>
          <w:bCs/>
          <w:noProof/>
          <w:sz w:val="24"/>
          <w:szCs w:val="24"/>
        </w:rPr>
        <w:t xml:space="preserve">Meios utilizados na prevenção </w:t>
      </w:r>
    </w:p>
    <w:p w14:paraId="512AF4C3" w14:textId="77777777"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 xml:space="preserve">Em Portugal existem inúmeros meios que são utilizados na prevenção, na deteção, no apoio à vitima, no controlo e no estudo da violência doméstica. </w:t>
      </w:r>
    </w:p>
    <w:p w14:paraId="77FCB94C" w14:textId="0A55D49D"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 xml:space="preserve">Para além do Departamento de Investigação e Ação Penal, da responsabilidade do Ministério Público, enquadrado dentro da estrutura da Procuradoria Geral da República (PGR), entidade responsável pela investigação criminal, existem várias entidades públicas e privadas, com diversas competências nesta matéria, tendo em vista detectar precocemente os suficientes indicios da prática de um crime e de quem foi o seu agente. </w:t>
      </w:r>
    </w:p>
    <w:p w14:paraId="6390EBBD" w14:textId="0CA31C52" w:rsidR="00BB4F99" w:rsidRPr="00BB4F99" w:rsidRDefault="00BB4F99" w:rsidP="00BB4F99">
      <w:pPr>
        <w:spacing w:after="200" w:line="360" w:lineRule="auto"/>
        <w:jc w:val="both"/>
        <w:rPr>
          <w:rFonts w:ascii="Times New Roman" w:eastAsia="Calibri" w:hAnsi="Times New Roman" w:cs="Times New Roman"/>
          <w:noProof/>
          <w:sz w:val="24"/>
          <w:szCs w:val="24"/>
        </w:rPr>
      </w:pPr>
      <w:r w:rsidRPr="00BB4F99">
        <w:rPr>
          <w:rFonts w:ascii="Times New Roman" w:eastAsia="Calibri" w:hAnsi="Times New Roman" w:cs="Times New Roman"/>
          <w:noProof/>
          <w:sz w:val="24"/>
          <w:szCs w:val="24"/>
        </w:rPr>
        <w:t>Intervêm também as forças policiais das principais entidades militares e civis, a Guarda Nacional Republicana, a Polícia de Segurança Pública e a Polícia Judiciaria, sem prejuízo de todas as demais entidades policiais terem também competência para receber queixas</w:t>
      </w:r>
      <w:r w:rsidR="00AC32D1">
        <w:rPr>
          <w:rFonts w:ascii="Times New Roman" w:eastAsia="Calibri" w:hAnsi="Times New Roman" w:cs="Times New Roman"/>
          <w:noProof/>
          <w:sz w:val="24"/>
          <w:szCs w:val="24"/>
        </w:rPr>
        <w:t>,</w:t>
      </w:r>
      <w:r w:rsidR="006A3263">
        <w:rPr>
          <w:rFonts w:ascii="Times New Roman" w:eastAsia="Calibri" w:hAnsi="Times New Roman" w:cs="Times New Roman"/>
          <w:noProof/>
          <w:sz w:val="24"/>
          <w:szCs w:val="24"/>
        </w:rPr>
        <w:t xml:space="preserve"> os </w:t>
      </w:r>
      <w:r w:rsidRPr="00BB4F99">
        <w:rPr>
          <w:rFonts w:ascii="Times New Roman" w:eastAsia="Calibri" w:hAnsi="Times New Roman" w:cs="Times New Roman"/>
          <w:noProof/>
          <w:sz w:val="24"/>
          <w:szCs w:val="24"/>
        </w:rPr>
        <w:t>serviços públicos de saúde</w:t>
      </w:r>
      <w:r w:rsidR="006A3263">
        <w:rPr>
          <w:rFonts w:ascii="Times New Roman" w:eastAsia="Calibri" w:hAnsi="Times New Roman" w:cs="Times New Roman"/>
          <w:noProof/>
          <w:sz w:val="24"/>
          <w:szCs w:val="24"/>
        </w:rPr>
        <w:t xml:space="preserve">, </w:t>
      </w:r>
      <w:r w:rsidRPr="00BB4F99">
        <w:rPr>
          <w:rFonts w:ascii="Times New Roman" w:eastAsia="Calibri" w:hAnsi="Times New Roman" w:cs="Times New Roman"/>
          <w:noProof/>
          <w:sz w:val="24"/>
          <w:szCs w:val="24"/>
        </w:rPr>
        <w:t>o Instituto de Segurança Social, I. P.,</w:t>
      </w:r>
      <w:r w:rsidR="006A3263">
        <w:rPr>
          <w:rFonts w:ascii="Times New Roman" w:eastAsia="Calibri" w:hAnsi="Times New Roman" w:cs="Times New Roman"/>
          <w:noProof/>
          <w:sz w:val="24"/>
          <w:szCs w:val="24"/>
        </w:rPr>
        <w:t xml:space="preserve"> </w:t>
      </w:r>
      <w:r w:rsidRPr="00BB4F99">
        <w:rPr>
          <w:rFonts w:ascii="Times New Roman" w:eastAsia="Calibri" w:hAnsi="Times New Roman" w:cs="Times New Roman"/>
          <w:noProof/>
          <w:sz w:val="24"/>
          <w:szCs w:val="24"/>
        </w:rPr>
        <w:t>a Comissão para a Igualdade de Género, a Linha Nacional de Emergência Social, a Rede Nacional de Apoio a Vítimas de Violência Doméstica, o Programa de Respostas Integradas, o Núcleo Mulher e Meno</w:t>
      </w:r>
      <w:r w:rsidR="006A3263">
        <w:rPr>
          <w:rFonts w:ascii="Times New Roman" w:eastAsia="Calibri" w:hAnsi="Times New Roman" w:cs="Times New Roman"/>
          <w:noProof/>
          <w:sz w:val="24"/>
          <w:szCs w:val="24"/>
        </w:rPr>
        <w:t>r</w:t>
      </w:r>
      <w:r w:rsidRPr="00BB4F99">
        <w:rPr>
          <w:rFonts w:ascii="Times New Roman" w:eastAsia="Calibri" w:hAnsi="Times New Roman" w:cs="Times New Roman"/>
          <w:noProof/>
          <w:sz w:val="24"/>
          <w:szCs w:val="24"/>
        </w:rPr>
        <w:t>, as Equipas de Prevênção de Violência em Adultos</w:t>
      </w:r>
      <w:r w:rsidR="006A3263">
        <w:rPr>
          <w:rFonts w:ascii="Times New Roman" w:eastAsia="Calibri" w:hAnsi="Times New Roman" w:cs="Times New Roman"/>
          <w:noProof/>
          <w:sz w:val="24"/>
          <w:szCs w:val="24"/>
        </w:rPr>
        <w:t xml:space="preserve"> </w:t>
      </w:r>
      <w:r w:rsidRPr="00BB4F99">
        <w:rPr>
          <w:rFonts w:ascii="Times New Roman" w:eastAsia="Calibri" w:hAnsi="Times New Roman" w:cs="Times New Roman"/>
          <w:noProof/>
          <w:sz w:val="24"/>
          <w:szCs w:val="24"/>
        </w:rPr>
        <w:t>e pela Comissão Técnica Multidisciplinar para a melhoria da prevenção e combate à violência doméstica</w:t>
      </w:r>
      <w:r w:rsidR="006A3263">
        <w:rPr>
          <w:rFonts w:ascii="Times New Roman" w:eastAsia="Calibri" w:hAnsi="Times New Roman" w:cs="Times New Roman"/>
          <w:noProof/>
          <w:sz w:val="24"/>
          <w:szCs w:val="24"/>
        </w:rPr>
        <w:t>.</w:t>
      </w:r>
    </w:p>
    <w:p w14:paraId="49B093F7" w14:textId="262CEFB5" w:rsidR="00BB4F99" w:rsidRPr="00410137" w:rsidRDefault="00BB4F99" w:rsidP="00410137">
      <w:pPr>
        <w:pStyle w:val="PargrafodaLista"/>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b/>
          <w:bCs/>
          <w:noProof/>
          <w:kern w:val="36"/>
          <w:sz w:val="24"/>
          <w:szCs w:val="24"/>
          <w:lang w:eastAsia="pt-PT"/>
        </w:rPr>
      </w:pPr>
      <w:r w:rsidRPr="00410137">
        <w:rPr>
          <w:rFonts w:ascii="Times New Roman" w:eastAsia="Times New Roman" w:hAnsi="Times New Roman" w:cs="Times New Roman"/>
          <w:b/>
          <w:bCs/>
          <w:noProof/>
          <w:kern w:val="36"/>
          <w:sz w:val="24"/>
          <w:szCs w:val="24"/>
          <w:lang w:eastAsia="pt-PT"/>
        </w:rPr>
        <w:t>As limitações de prova e o encobrimento dos factos</w:t>
      </w:r>
    </w:p>
    <w:p w14:paraId="703FFB8E" w14:textId="147E61AC" w:rsidR="00410137" w:rsidRDefault="00BB4F99" w:rsidP="00410137">
      <w:pPr>
        <w:spacing w:after="200" w:line="360" w:lineRule="auto"/>
        <w:jc w:val="both"/>
        <w:rPr>
          <w:rFonts w:ascii="Times New Roman" w:eastAsia="Times New Roman" w:hAnsi="Times New Roman" w:cs="Times New Roman"/>
          <w:noProof/>
          <w:kern w:val="36"/>
          <w:sz w:val="24"/>
          <w:szCs w:val="24"/>
          <w:lang w:eastAsia="pt-PT"/>
        </w:rPr>
      </w:pPr>
      <w:r w:rsidRPr="00BB4F99">
        <w:rPr>
          <w:rFonts w:ascii="Times New Roman" w:eastAsia="Times New Roman" w:hAnsi="Times New Roman" w:cs="Times New Roman"/>
          <w:noProof/>
          <w:kern w:val="36"/>
          <w:sz w:val="24"/>
          <w:szCs w:val="24"/>
          <w:lang w:eastAsia="pt-PT"/>
        </w:rPr>
        <w:t>As dificuldades de deteção e punição, en geral, de situações de violência, dependem largamente da colaboração prestada pela própria vitima</w:t>
      </w:r>
      <w:r w:rsidR="006A3263">
        <w:rPr>
          <w:rFonts w:ascii="Times New Roman" w:eastAsia="Times New Roman" w:hAnsi="Times New Roman" w:cs="Times New Roman"/>
          <w:noProof/>
          <w:kern w:val="36"/>
          <w:sz w:val="24"/>
          <w:szCs w:val="24"/>
          <w:lang w:eastAsia="pt-PT"/>
        </w:rPr>
        <w:t xml:space="preserve">, pois, quando a vitima não presta </w:t>
      </w:r>
      <w:r w:rsidR="006A3263">
        <w:rPr>
          <w:rFonts w:ascii="Times New Roman" w:eastAsia="Times New Roman" w:hAnsi="Times New Roman" w:cs="Times New Roman"/>
          <w:noProof/>
          <w:kern w:val="36"/>
          <w:sz w:val="24"/>
          <w:szCs w:val="24"/>
          <w:lang w:eastAsia="pt-PT"/>
        </w:rPr>
        <w:lastRenderedPageBreak/>
        <w:t>declarações, dificlmente pode ocorrer uma condenação. Por outro lado, quando as presta, o seu depoimento, não deve ser desvalorizado, deve antes merecer uma</w:t>
      </w:r>
      <w:r w:rsidRPr="00BB4F99">
        <w:rPr>
          <w:rFonts w:ascii="Times New Roman" w:eastAsia="Times New Roman" w:hAnsi="Times New Roman" w:cs="Times New Roman"/>
          <w:noProof/>
          <w:kern w:val="36"/>
          <w:sz w:val="24"/>
          <w:szCs w:val="24"/>
          <w:lang w:eastAsia="pt-PT"/>
        </w:rPr>
        <w:t xml:space="preserve"> valoração ponderada, tendo em conta que os diversos tipos de violência, física, psíquica ou mental, são perpetrados maioritáriamente em ambientes privados, e sem a presença de testemunhas. A prática de violência contra a mulher entre as quatro paredes, é acompanhada de uma sensação de impunidade, proporcionada pelo ambiente no qual a sua prática se desenvolve</w:t>
      </w:r>
      <w:r w:rsidR="00410137">
        <w:rPr>
          <w:rFonts w:ascii="Times New Roman" w:eastAsia="Times New Roman" w:hAnsi="Times New Roman" w:cs="Times New Roman"/>
          <w:noProof/>
          <w:kern w:val="36"/>
          <w:sz w:val="24"/>
          <w:szCs w:val="24"/>
          <w:lang w:eastAsia="pt-PT"/>
        </w:rPr>
        <w:t>, acrescendo ainda</w:t>
      </w:r>
      <w:r w:rsidR="00410137" w:rsidRPr="00BB4F99">
        <w:rPr>
          <w:rFonts w:ascii="Times New Roman" w:eastAsia="Times New Roman" w:hAnsi="Times New Roman" w:cs="Times New Roman"/>
          <w:noProof/>
          <w:kern w:val="36"/>
          <w:sz w:val="24"/>
          <w:szCs w:val="24"/>
          <w:lang w:eastAsia="pt-PT"/>
        </w:rPr>
        <w:t xml:space="preserve"> o pudor de terceiros em </w:t>
      </w:r>
      <w:r w:rsidR="00410137">
        <w:rPr>
          <w:rFonts w:ascii="Times New Roman" w:eastAsia="Times New Roman" w:hAnsi="Times New Roman" w:cs="Times New Roman"/>
          <w:noProof/>
          <w:kern w:val="36"/>
          <w:sz w:val="24"/>
          <w:szCs w:val="24"/>
          <w:lang w:eastAsia="pt-PT"/>
        </w:rPr>
        <w:t>i</w:t>
      </w:r>
      <w:r w:rsidR="00410137" w:rsidRPr="00BB4F99">
        <w:rPr>
          <w:rFonts w:ascii="Times New Roman" w:eastAsia="Times New Roman" w:hAnsi="Times New Roman" w:cs="Times New Roman"/>
          <w:noProof/>
          <w:kern w:val="36"/>
          <w:sz w:val="24"/>
          <w:szCs w:val="24"/>
          <w:lang w:eastAsia="pt-PT"/>
        </w:rPr>
        <w:t>ntrometer-se no que continua a ser considerado como a vida privada dos outros</w:t>
      </w:r>
      <w:r w:rsidRPr="00BB4F99">
        <w:rPr>
          <w:rFonts w:ascii="Times New Roman" w:eastAsia="Times New Roman" w:hAnsi="Times New Roman" w:cs="Times New Roman"/>
          <w:noProof/>
          <w:kern w:val="36"/>
          <w:sz w:val="24"/>
          <w:szCs w:val="24"/>
          <w:lang w:eastAsia="pt-PT"/>
        </w:rPr>
        <w:t xml:space="preserve">. Para além das dificuldades probatórias existentes e conhecidas, há ainda que considerar as limitações pessoais da vítima relativamente a falar sobre a sua própria situação, tanto por vergonha, </w:t>
      </w:r>
      <w:r w:rsidR="00410137">
        <w:rPr>
          <w:rFonts w:ascii="Times New Roman" w:eastAsia="Times New Roman" w:hAnsi="Times New Roman" w:cs="Times New Roman"/>
          <w:noProof/>
          <w:kern w:val="36"/>
          <w:sz w:val="24"/>
          <w:szCs w:val="24"/>
          <w:lang w:eastAsia="pt-PT"/>
        </w:rPr>
        <w:t xml:space="preserve">receio da reação do agressor, </w:t>
      </w:r>
      <w:r w:rsidR="006A3263">
        <w:rPr>
          <w:rFonts w:ascii="Times New Roman" w:eastAsia="Times New Roman" w:hAnsi="Times New Roman" w:cs="Times New Roman"/>
          <w:noProof/>
          <w:kern w:val="36"/>
          <w:sz w:val="24"/>
          <w:szCs w:val="24"/>
          <w:lang w:eastAsia="pt-PT"/>
        </w:rPr>
        <w:t xml:space="preserve">como pelo reviver das situações por que passou, que constitui mais uma vitimização da vitima, </w:t>
      </w:r>
      <w:r w:rsidRPr="00BB4F99">
        <w:rPr>
          <w:rFonts w:ascii="Times New Roman" w:eastAsia="Times New Roman" w:hAnsi="Times New Roman" w:cs="Times New Roman"/>
          <w:noProof/>
          <w:kern w:val="36"/>
          <w:sz w:val="24"/>
          <w:szCs w:val="24"/>
          <w:lang w:eastAsia="pt-PT"/>
        </w:rPr>
        <w:t>como por existência de dependência económica</w:t>
      </w:r>
      <w:r w:rsidR="00410137">
        <w:rPr>
          <w:rFonts w:ascii="Times New Roman" w:eastAsia="Times New Roman" w:hAnsi="Times New Roman" w:cs="Times New Roman"/>
          <w:noProof/>
          <w:kern w:val="36"/>
          <w:sz w:val="24"/>
          <w:szCs w:val="24"/>
          <w:lang w:eastAsia="pt-PT"/>
        </w:rPr>
        <w:t xml:space="preserve"> </w:t>
      </w:r>
      <w:r w:rsidRPr="00BB4F99">
        <w:rPr>
          <w:rFonts w:ascii="Times New Roman" w:eastAsia="Times New Roman" w:hAnsi="Times New Roman" w:cs="Times New Roman"/>
          <w:noProof/>
          <w:kern w:val="36"/>
          <w:sz w:val="24"/>
          <w:szCs w:val="24"/>
          <w:lang w:eastAsia="pt-PT"/>
        </w:rPr>
        <w:t xml:space="preserve">ou outra, </w:t>
      </w:r>
      <w:r w:rsidR="00410137">
        <w:rPr>
          <w:rFonts w:ascii="Times New Roman" w:eastAsia="Times New Roman" w:hAnsi="Times New Roman" w:cs="Times New Roman"/>
          <w:noProof/>
          <w:kern w:val="36"/>
          <w:sz w:val="24"/>
          <w:szCs w:val="24"/>
          <w:lang w:eastAsia="pt-PT"/>
        </w:rPr>
        <w:t xml:space="preserve">apesar de serem crescentes as </w:t>
      </w:r>
      <w:r w:rsidR="00410137" w:rsidRPr="00BB4F99">
        <w:rPr>
          <w:rFonts w:ascii="Times New Roman" w:eastAsia="Times New Roman" w:hAnsi="Times New Roman" w:cs="Times New Roman"/>
          <w:noProof/>
          <w:kern w:val="36"/>
          <w:sz w:val="24"/>
          <w:szCs w:val="24"/>
          <w:lang w:eastAsia="pt-PT"/>
        </w:rPr>
        <w:t>situações em que as vítimas não dependem economicamente do agressor, fruto de um nível cada vez mais elevado de instrução das mulheres</w:t>
      </w:r>
      <w:r w:rsidR="00410137">
        <w:rPr>
          <w:rFonts w:ascii="Times New Roman" w:eastAsia="Times New Roman" w:hAnsi="Times New Roman" w:cs="Times New Roman"/>
          <w:noProof/>
          <w:kern w:val="36"/>
          <w:sz w:val="24"/>
          <w:szCs w:val="24"/>
          <w:lang w:eastAsia="pt-PT"/>
        </w:rPr>
        <w:t>.</w:t>
      </w:r>
      <w:r w:rsidR="00410137" w:rsidRPr="00BB4F99">
        <w:rPr>
          <w:rFonts w:ascii="Times New Roman" w:eastAsia="Times New Roman" w:hAnsi="Times New Roman" w:cs="Times New Roman"/>
          <w:noProof/>
          <w:kern w:val="36"/>
          <w:sz w:val="24"/>
          <w:szCs w:val="24"/>
          <w:lang w:eastAsia="pt-PT"/>
        </w:rPr>
        <w:t xml:space="preserve"> </w:t>
      </w:r>
    </w:p>
    <w:p w14:paraId="4F75C86B" w14:textId="79593801" w:rsidR="006A3263" w:rsidRPr="006A3263" w:rsidRDefault="006A3263" w:rsidP="006A3263">
      <w:pPr>
        <w:pStyle w:val="PargrafodaLista"/>
        <w:numPr>
          <w:ilvl w:val="0"/>
          <w:numId w:val="2"/>
        </w:numPr>
        <w:spacing w:after="200" w:line="360" w:lineRule="auto"/>
        <w:jc w:val="both"/>
        <w:rPr>
          <w:rFonts w:ascii="Times New Roman" w:eastAsia="Times New Roman" w:hAnsi="Times New Roman" w:cs="Times New Roman"/>
          <w:b/>
          <w:bCs/>
          <w:noProof/>
          <w:kern w:val="36"/>
          <w:sz w:val="24"/>
          <w:szCs w:val="24"/>
          <w:lang w:eastAsia="pt-PT"/>
        </w:rPr>
      </w:pPr>
      <w:r w:rsidRPr="006A3263">
        <w:rPr>
          <w:rFonts w:ascii="Times New Roman" w:eastAsia="Times New Roman" w:hAnsi="Times New Roman" w:cs="Times New Roman"/>
          <w:b/>
          <w:bCs/>
          <w:noProof/>
          <w:kern w:val="36"/>
          <w:sz w:val="24"/>
          <w:szCs w:val="24"/>
          <w:lang w:eastAsia="pt-PT"/>
        </w:rPr>
        <w:t>O primeiro “ataque” à proteção institucional dos Direitos Humanos da Mulheres</w:t>
      </w:r>
    </w:p>
    <w:p w14:paraId="616DD1AF" w14:textId="0D42BD74" w:rsidR="00BB4F99" w:rsidRPr="00AC32D1" w:rsidRDefault="00AC32D1" w:rsidP="00AC32D1">
      <w:pPr>
        <w:spacing w:line="360" w:lineRule="auto"/>
        <w:jc w:val="both"/>
        <w:rPr>
          <w:rFonts w:ascii="Times New Roman" w:hAnsi="Times New Roman" w:cs="Times New Roman"/>
          <w:noProof/>
          <w:sz w:val="24"/>
          <w:szCs w:val="24"/>
        </w:rPr>
      </w:pPr>
      <w:r w:rsidRPr="00AC32D1">
        <w:rPr>
          <w:rFonts w:ascii="Times New Roman" w:eastAsia="Times New Roman" w:hAnsi="Times New Roman" w:cs="Times New Roman"/>
          <w:noProof/>
          <w:kern w:val="36"/>
          <w:sz w:val="24"/>
          <w:szCs w:val="24"/>
          <w:lang w:eastAsia="pt-PT"/>
        </w:rPr>
        <w:t xml:space="preserve">Apesar da importância da Convenção de Istambul, infelizmente, o regime turco decidiu recentemente desvincular-se da Convenção, invocando que a Convenção ficou refém de um grupo de cidadãos que pretendem a aceitação da homosexualidade o que contraria os valores sociais e famíliares daquele pais. È de lamentar o profundo retrocesso que tal posição pode implicar, em várias perspetivas. Numa perspetiva jusfamiliar, num pais que após a implantação da República e consequente abolição do Califado Otomano (1924), com a sua história de 600 anos, adotou, pela mão de Ataturk, uma das legislações mais evoluidas da Europa, no seu tempo, o Código Civil Suiço, em vigor desde 4 outubro de 1926,  ao mesmo tempo que aboliu a Sharia. Foi a conjugação destes fenómenos, que possibilitou uma evolução muito significativa do estatuto das mulheres, ao longo de décadas, que a Convenção de Istambul vinha reforçar. Numa perspetiva de direitos humanos das mulheres naquele pais, a decisão pode ser ainda mais devastadora, pois, deixando o mesmo de estar vinculado à Convenção, após a ter incorporado no seu direito interno, são expectáveis alterações legislativas, com impacto na diminuição do padrão de proteção dos direitos humanos das mulheres turcas. </w:t>
      </w:r>
    </w:p>
    <w:sectPr w:rsidR="00BB4F99" w:rsidRPr="00AC32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3332E" w14:textId="77777777" w:rsidR="004647B7" w:rsidRDefault="004647B7" w:rsidP="00BB4F99">
      <w:pPr>
        <w:spacing w:after="0" w:line="240" w:lineRule="auto"/>
      </w:pPr>
      <w:r>
        <w:separator/>
      </w:r>
    </w:p>
  </w:endnote>
  <w:endnote w:type="continuationSeparator" w:id="0">
    <w:p w14:paraId="20E24445" w14:textId="77777777" w:rsidR="004647B7" w:rsidRDefault="004647B7" w:rsidP="00BB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9E49D" w14:textId="77777777" w:rsidR="004647B7" w:rsidRDefault="004647B7" w:rsidP="00BB4F99">
      <w:pPr>
        <w:spacing w:after="0" w:line="240" w:lineRule="auto"/>
      </w:pPr>
      <w:r>
        <w:separator/>
      </w:r>
    </w:p>
  </w:footnote>
  <w:footnote w:type="continuationSeparator" w:id="0">
    <w:p w14:paraId="0B9308B2" w14:textId="77777777" w:rsidR="004647B7" w:rsidRDefault="004647B7" w:rsidP="00BB4F99">
      <w:pPr>
        <w:spacing w:after="0" w:line="240" w:lineRule="auto"/>
      </w:pPr>
      <w:r>
        <w:continuationSeparator/>
      </w:r>
    </w:p>
  </w:footnote>
  <w:footnote w:id="1">
    <w:p w14:paraId="03209405" w14:textId="4E2036C8" w:rsidR="00AC32D1" w:rsidRPr="00AC32D1" w:rsidRDefault="00AC32D1" w:rsidP="00AC32D1">
      <w:pPr>
        <w:pStyle w:val="Textodenotaderodap"/>
        <w:tabs>
          <w:tab w:val="left" w:pos="0"/>
          <w:tab w:val="left" w:pos="567"/>
        </w:tabs>
        <w:jc w:val="both"/>
        <w:rPr>
          <w:rFonts w:ascii="Times New Roman" w:hAnsi="Times New Roman"/>
        </w:rPr>
      </w:pPr>
      <w:r>
        <w:rPr>
          <w:rStyle w:val="Refdenotaderodap"/>
          <w:b/>
          <w:bCs/>
        </w:rPr>
        <w:t>*</w:t>
      </w:r>
      <w:r>
        <w:rPr>
          <w:rFonts w:ascii="Times New Roman" w:hAnsi="Times New Roman"/>
          <w:b/>
          <w:bCs/>
        </w:rPr>
        <w:t xml:space="preserve"> </w:t>
      </w:r>
      <w:r>
        <w:rPr>
          <w:rFonts w:ascii="Times New Roman" w:hAnsi="Times New Roman"/>
        </w:rPr>
        <w:t>Professora da Faculdade de Direito da Universidade Lusíada, Portugal.</w:t>
      </w:r>
    </w:p>
  </w:footnote>
  <w:footnote w:id="2">
    <w:p w14:paraId="3A592536" w14:textId="77777777" w:rsidR="00BB4F99" w:rsidRDefault="00BB4F99" w:rsidP="00BB4F99">
      <w:pPr>
        <w:tabs>
          <w:tab w:val="left" w:pos="0"/>
          <w:tab w:val="left" w:pos="567"/>
        </w:tabs>
        <w:spacing w:line="240" w:lineRule="auto"/>
        <w:jc w:val="both"/>
        <w:rPr>
          <w:rFonts w:ascii="Times New Roman" w:hAnsi="Times New Roman"/>
          <w:sz w:val="20"/>
          <w:szCs w:val="20"/>
        </w:rPr>
      </w:pPr>
      <w:r>
        <w:rPr>
          <w:rStyle w:val="Refdenotaderodap"/>
          <w:sz w:val="20"/>
          <w:szCs w:val="20"/>
        </w:rPr>
        <w:footnoteRef/>
      </w:r>
      <w:r>
        <w:rPr>
          <w:rFonts w:ascii="Times New Roman" w:hAnsi="Times New Roman"/>
          <w:sz w:val="20"/>
          <w:szCs w:val="20"/>
        </w:rPr>
        <w:t xml:space="preserve"> Assim o acórdão do Tribunal da Relação de Lisboa, de 21.02.2018, proferido no Proc. N.º 1119/16.1PTLSB.L1-3, por unanimidade, relatora Teresa Féria</w:t>
      </w:r>
      <w:bookmarkStart w:id="0" w:name="_Hlk44389574"/>
      <w:r>
        <w:rPr>
          <w:rFonts w:ascii="Times New Roman" w:hAnsi="Times New Roman"/>
          <w:sz w:val="20"/>
          <w:szCs w:val="20"/>
        </w:rPr>
        <w:t xml:space="preserve">. Disponível em: </w:t>
      </w:r>
      <w:hyperlink r:id="rId1" w:history="1">
        <w:r w:rsidRPr="00AC32D1">
          <w:rPr>
            <w:rStyle w:val="Hiperligao"/>
            <w:color w:val="auto"/>
            <w:sz w:val="20"/>
            <w:szCs w:val="20"/>
          </w:rPr>
          <w:t>www.dgsi.pt</w:t>
        </w:r>
      </w:hyperlink>
      <w:r w:rsidRPr="00AC32D1">
        <w:rPr>
          <w:rFonts w:ascii="Times New Roman" w:hAnsi="Times New Roman"/>
          <w:sz w:val="20"/>
          <w:szCs w:val="20"/>
        </w:rPr>
        <w:t xml:space="preserve">, </w:t>
      </w:r>
      <w:r>
        <w:rPr>
          <w:rFonts w:ascii="Times New Roman" w:hAnsi="Times New Roman"/>
          <w:sz w:val="20"/>
          <w:szCs w:val="20"/>
        </w:rPr>
        <w:t xml:space="preserve">consultado em 13 de maio de 2020. </w:t>
      </w:r>
      <w:bookmarkEnd w:id="0"/>
    </w:p>
  </w:footnote>
  <w:footnote w:id="3">
    <w:p w14:paraId="08F55832" w14:textId="77777777" w:rsidR="00BB4F99" w:rsidRDefault="00BB4F99" w:rsidP="00BB4F99">
      <w:pPr>
        <w:tabs>
          <w:tab w:val="left" w:pos="0"/>
          <w:tab w:val="left" w:pos="567"/>
        </w:tabs>
        <w:spacing w:line="240" w:lineRule="auto"/>
        <w:jc w:val="both"/>
        <w:rPr>
          <w:rFonts w:ascii="Times New Roman" w:hAnsi="Times New Roman"/>
          <w:sz w:val="20"/>
          <w:szCs w:val="20"/>
        </w:rPr>
      </w:pPr>
      <w:r>
        <w:rPr>
          <w:rStyle w:val="Refdenotaderodap"/>
          <w:sz w:val="20"/>
          <w:szCs w:val="20"/>
        </w:rPr>
        <w:footnoteRef/>
      </w:r>
      <w:r>
        <w:rPr>
          <w:rFonts w:ascii="Times New Roman" w:hAnsi="Times New Roman"/>
          <w:sz w:val="20"/>
          <w:szCs w:val="20"/>
        </w:rPr>
        <w:t xml:space="preserve"> Acórdão do Tribunal da Relação de Lisboa, de 21.02.2018, proferido no Proc. N.º 1119/16.1PTLSB.L1-3, supramencionado.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35B0"/>
    <w:multiLevelType w:val="multilevel"/>
    <w:tmpl w:val="74F69BBE"/>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BF12A86"/>
    <w:multiLevelType w:val="hybridMultilevel"/>
    <w:tmpl w:val="E04C6140"/>
    <w:lvl w:ilvl="0" w:tplc="5AACFD44">
      <w:start w:val="2"/>
      <w:numFmt w:val="upperRoman"/>
      <w:lvlText w:val="%1."/>
      <w:lvlJc w:val="left"/>
      <w:pPr>
        <w:ind w:left="1080" w:hanging="720"/>
      </w:pPr>
      <w:rPr>
        <w:rFonts w:eastAsia="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10F754B"/>
    <w:multiLevelType w:val="hybridMultilevel"/>
    <w:tmpl w:val="D212A378"/>
    <w:lvl w:ilvl="0" w:tplc="7292EDAE">
      <w:start w:val="1"/>
      <w:numFmt w:val="upp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99"/>
    <w:rsid w:val="000504AA"/>
    <w:rsid w:val="003304AF"/>
    <w:rsid w:val="00410137"/>
    <w:rsid w:val="004647B7"/>
    <w:rsid w:val="006A3263"/>
    <w:rsid w:val="00AC32D1"/>
    <w:rsid w:val="00B11184"/>
    <w:rsid w:val="00BB4F9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4D3D"/>
  <w15:chartTrackingRefBased/>
  <w15:docId w15:val="{DDAE8B0C-699F-4534-AFD9-3DE9C94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BB4F9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B4F99"/>
    <w:rPr>
      <w:rFonts w:ascii="Times New Roman" w:hAnsi="Times New Roman" w:cs="Times New Roman"/>
      <w:sz w:val="24"/>
      <w:szCs w:val="24"/>
    </w:rPr>
  </w:style>
  <w:style w:type="character" w:customStyle="1" w:styleId="TextodenotaderodapCarter">
    <w:name w:val="Texto de nota de rodapé Caráter"/>
    <w:aliases w:val="Footnote Text Char Char Char Char Char Caráter,Footnote Text Char Char Char Char Caráter,Footnote reference Caráter,FA Fu Caráter,Footnote Text Char Char Char Caráter,Footnote Text Cha Caráter,FA Fußnotentext Caráter"/>
    <w:basedOn w:val="Tipodeletrapredefinidodopargrafo"/>
    <w:link w:val="Textodenotaderodap"/>
    <w:uiPriority w:val="99"/>
    <w:semiHidden/>
    <w:locked/>
    <w:rsid w:val="00BB4F99"/>
    <w:rPr>
      <w:rFonts w:ascii="Calibri" w:eastAsia="Calibri" w:hAnsi="Calibri" w:cs="Times New Roman"/>
      <w:sz w:val="20"/>
      <w:szCs w:val="20"/>
    </w:rPr>
  </w:style>
  <w:style w:type="paragraph" w:styleId="Textodenotaderodap">
    <w:name w:val="footnote text"/>
    <w:aliases w:val="Footnote Text Char Char Char Char Char,Footnote Text Char Char Char Char,Footnote reference,FA Fu,Footnote Text Char Char Char,Footnote Text Cha,FA Fußnotentext,FA Fu?notentext,Footnote Text Char Char,FA Fuﬂnotentext,Ca,C,ft"/>
    <w:basedOn w:val="Normal"/>
    <w:link w:val="TextodenotaderodapCarter"/>
    <w:uiPriority w:val="99"/>
    <w:semiHidden/>
    <w:unhideWhenUsed/>
    <w:qFormat/>
    <w:rsid w:val="00BB4F99"/>
    <w:pPr>
      <w:spacing w:after="0" w:line="240" w:lineRule="auto"/>
    </w:pPr>
    <w:rPr>
      <w:rFonts w:ascii="Calibri" w:eastAsia="Calibri" w:hAnsi="Calibri" w:cs="Times New Roman"/>
      <w:sz w:val="20"/>
      <w:szCs w:val="20"/>
    </w:rPr>
  </w:style>
  <w:style w:type="character" w:customStyle="1" w:styleId="TextodenotaderodapCarter1">
    <w:name w:val="Texto de nota de rodapé Caráter1"/>
    <w:basedOn w:val="Tipodeletrapredefinidodopargrafo"/>
    <w:uiPriority w:val="99"/>
    <w:semiHidden/>
    <w:rsid w:val="00BB4F99"/>
    <w:rPr>
      <w:sz w:val="20"/>
      <w:szCs w:val="20"/>
    </w:rPr>
  </w:style>
  <w:style w:type="character" w:styleId="Refdenotaderodap">
    <w:name w:val="footnote reference"/>
    <w:aliases w:val="Texto de nota al pie,Appel note de bas de page,Footnotes refss,Footnote number,referencia nota al pie,BVI fnr,f,4_G,16 Point,Superscript 6 Point,Texto nota al pie,Footnote Reference Char3,Footnote Reference Char1 Char"/>
    <w:link w:val="4GChar"/>
    <w:uiPriority w:val="99"/>
    <w:unhideWhenUsed/>
    <w:qFormat/>
    <w:rsid w:val="00BB4F99"/>
    <w:rPr>
      <w:rFonts w:ascii="Times New Roman" w:hAnsi="Times New Roman"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derodap"/>
    <w:uiPriority w:val="99"/>
    <w:qFormat/>
    <w:rsid w:val="00BB4F99"/>
    <w:pPr>
      <w:spacing w:after="0" w:line="240" w:lineRule="auto"/>
      <w:jc w:val="both"/>
    </w:pPr>
    <w:rPr>
      <w:rFonts w:ascii="Times New Roman" w:hAnsi="Times New Roman" w:cs="Times New Roman"/>
      <w:vertAlign w:val="superscript"/>
    </w:rPr>
  </w:style>
  <w:style w:type="character" w:customStyle="1" w:styleId="Ttulo1Carter">
    <w:name w:val="Título 1 Caráter"/>
    <w:basedOn w:val="Tipodeletrapredefinidodopargrafo"/>
    <w:link w:val="Ttulo1"/>
    <w:uiPriority w:val="9"/>
    <w:rsid w:val="00BB4F99"/>
    <w:rPr>
      <w:rFonts w:asciiTheme="majorHAnsi" w:eastAsiaTheme="majorEastAsia" w:hAnsiTheme="majorHAnsi" w:cstheme="majorBidi"/>
      <w:color w:val="2F5496" w:themeColor="accent1" w:themeShade="BF"/>
      <w:sz w:val="32"/>
      <w:szCs w:val="32"/>
      <w:lang w:val="es-ES"/>
    </w:rPr>
  </w:style>
  <w:style w:type="character" w:styleId="Hiperligao">
    <w:name w:val="Hyperlink"/>
    <w:semiHidden/>
    <w:unhideWhenUsed/>
    <w:rsid w:val="00BB4F99"/>
    <w:rPr>
      <w:rFonts w:ascii="Times New Roman" w:hAnsi="Times New Roman" w:cs="Times New Roman" w:hint="default"/>
      <w:color w:val="0000FF"/>
      <w:u w:val="single"/>
    </w:rPr>
  </w:style>
  <w:style w:type="paragraph" w:styleId="PargrafodaLista">
    <w:name w:val="List Paragraph"/>
    <w:basedOn w:val="Normal"/>
    <w:uiPriority w:val="34"/>
    <w:qFormat/>
    <w:rsid w:val="00B1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gsi.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7596-DBF6-4D09-982F-4CCFB2A6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9901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gomes</dc:creator>
  <cp:keywords/>
  <dc:description/>
  <cp:lastModifiedBy>ana sofia gomes</cp:lastModifiedBy>
  <cp:revision>2</cp:revision>
  <dcterms:created xsi:type="dcterms:W3CDTF">2021-03-26T19:33:00Z</dcterms:created>
  <dcterms:modified xsi:type="dcterms:W3CDTF">2021-03-26T19:33:00Z</dcterms:modified>
</cp:coreProperties>
</file>