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AB" w:rsidRDefault="006774AB" w:rsidP="006774AB">
      <w:pPr>
        <w:spacing w:line="360" w:lineRule="auto"/>
        <w:jc w:val="center"/>
        <w:rPr>
          <w:rFonts w:ascii="Times New Roman" w:hAnsi="Times New Roman" w:cs="Times New Roman"/>
          <w:i/>
          <w:sz w:val="24"/>
          <w:szCs w:val="24"/>
        </w:rPr>
      </w:pPr>
      <w:r>
        <w:rPr>
          <w:rFonts w:ascii="Times New Roman" w:eastAsia="Times New Roman" w:hAnsi="Times New Roman" w:cs="Times New Roman"/>
          <w:b/>
          <w:spacing w:val="-3"/>
          <w:sz w:val="24"/>
          <w:szCs w:val="24"/>
          <w:lang w:eastAsia="es-ES"/>
        </w:rPr>
        <w:t>TUTELA PUNITIVA CONTRA LA VIOLENCIA HACIA LAS MUJERES EN NICARAGUA: ¿DERECHO PENAL DIFERENCIADO?</w:t>
      </w:r>
    </w:p>
    <w:p w:rsidR="006774AB" w:rsidRPr="006774AB" w:rsidRDefault="006774AB" w:rsidP="00356C48">
      <w:pPr>
        <w:spacing w:line="240" w:lineRule="auto"/>
        <w:jc w:val="right"/>
        <w:rPr>
          <w:rFonts w:ascii="Times New Roman" w:hAnsi="Times New Roman" w:cs="Times New Roman"/>
          <w:b/>
          <w:sz w:val="24"/>
          <w:szCs w:val="24"/>
        </w:rPr>
      </w:pPr>
      <w:r w:rsidRPr="006774AB">
        <w:rPr>
          <w:rFonts w:ascii="Times New Roman" w:hAnsi="Times New Roman" w:cs="Times New Roman"/>
          <w:b/>
          <w:sz w:val="24"/>
          <w:szCs w:val="24"/>
        </w:rPr>
        <w:t>Suhey Mercedes Fúnez Narváez</w:t>
      </w:r>
    </w:p>
    <w:p w:rsidR="006774AB" w:rsidRDefault="006774AB" w:rsidP="00356C48">
      <w:pPr>
        <w:spacing w:line="240" w:lineRule="auto"/>
        <w:jc w:val="right"/>
        <w:rPr>
          <w:rFonts w:ascii="Times New Roman" w:eastAsia="Times New Roman" w:hAnsi="Times New Roman" w:cs="Times New Roman"/>
          <w:spacing w:val="-3"/>
          <w:sz w:val="24"/>
          <w:szCs w:val="24"/>
          <w:lang w:eastAsia="es-ES"/>
        </w:rPr>
      </w:pPr>
      <w:r>
        <w:rPr>
          <w:rFonts w:ascii="Times New Roman" w:hAnsi="Times New Roman" w:cs="Times New Roman"/>
          <w:sz w:val="24"/>
          <w:szCs w:val="24"/>
        </w:rPr>
        <w:t>Universidad Centroamérica de Nicaragua</w:t>
      </w:r>
    </w:p>
    <w:p w:rsidR="00356C48" w:rsidRDefault="00356C48" w:rsidP="00DC1CAE">
      <w:pPr>
        <w:spacing w:line="360" w:lineRule="auto"/>
        <w:rPr>
          <w:rFonts w:ascii="Times New Roman" w:eastAsia="Times New Roman" w:hAnsi="Times New Roman" w:cs="Times New Roman"/>
          <w:spacing w:val="-3"/>
          <w:sz w:val="24"/>
          <w:szCs w:val="24"/>
          <w:lang w:eastAsia="es-ES"/>
        </w:rPr>
      </w:pPr>
    </w:p>
    <w:p w:rsidR="00155837" w:rsidRPr="00155837" w:rsidRDefault="00155837" w:rsidP="00155837">
      <w:pPr>
        <w:spacing w:line="360" w:lineRule="auto"/>
        <w:jc w:val="both"/>
        <w:rPr>
          <w:rFonts w:ascii="Times New Roman" w:hAnsi="Times New Roman" w:cs="Times New Roman"/>
          <w:b/>
          <w:sz w:val="24"/>
          <w:szCs w:val="24"/>
        </w:rPr>
      </w:pPr>
      <w:r w:rsidRPr="00155837">
        <w:rPr>
          <w:rFonts w:ascii="Times New Roman" w:hAnsi="Times New Roman" w:cs="Times New Roman"/>
          <w:b/>
          <w:sz w:val="24"/>
          <w:szCs w:val="24"/>
        </w:rPr>
        <w:t>RESUMEN</w:t>
      </w:r>
    </w:p>
    <w:p w:rsidR="00356C48" w:rsidRDefault="00356C48" w:rsidP="00155837">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ómo justificar racionalmente desde una óptica constitucional el trato diferenciado de algunas figuras delictivas de la Ley </w:t>
      </w:r>
      <w:r>
        <w:rPr>
          <w:rFonts w:ascii="Times New Roman" w:eastAsia="Times New Roman" w:hAnsi="Times New Roman" w:cs="Times New Roman"/>
          <w:spacing w:val="-3"/>
          <w:sz w:val="24"/>
          <w:szCs w:val="24"/>
          <w:lang w:eastAsia="es-ES"/>
        </w:rPr>
        <w:t xml:space="preserve">n° </w:t>
      </w:r>
      <w:r>
        <w:rPr>
          <w:rFonts w:ascii="Times New Roman" w:hAnsi="Times New Roman" w:cs="Times New Roman"/>
          <w:sz w:val="24"/>
          <w:szCs w:val="24"/>
        </w:rPr>
        <w:t>779</w:t>
      </w:r>
      <w:r>
        <w:rPr>
          <w:rFonts w:ascii="Times New Roman" w:hAnsi="Times New Roman" w:cs="Times New Roman"/>
          <w:sz w:val="24"/>
          <w:szCs w:val="24"/>
        </w:rPr>
        <w:t xml:space="preserve"> </w:t>
      </w:r>
      <w:r>
        <w:rPr>
          <w:rFonts w:ascii="Times New Roman" w:eastAsia="Times New Roman" w:hAnsi="Times New Roman" w:cs="Times New Roman"/>
          <w:spacing w:val="-3"/>
          <w:sz w:val="24"/>
          <w:szCs w:val="24"/>
          <w:lang w:eastAsia="es-ES"/>
        </w:rPr>
        <w:t>“Ley integral contra la violencia hacia las Mujeres y de Reformas a la Ley No. 641 Código Penal”</w:t>
      </w:r>
      <w:r>
        <w:rPr>
          <w:rFonts w:ascii="Times New Roman" w:hAnsi="Times New Roman" w:cs="Times New Roman"/>
          <w:sz w:val="24"/>
          <w:szCs w:val="24"/>
        </w:rPr>
        <w:t xml:space="preserve">? </w:t>
      </w:r>
      <w:r>
        <w:rPr>
          <w:rFonts w:ascii="Times New Roman" w:hAnsi="Times New Roman" w:cs="Times New Roman"/>
          <w:sz w:val="24"/>
          <w:szCs w:val="24"/>
        </w:rPr>
        <w:t xml:space="preserve">Es el interrogante de esta ponencia. El mismo se resuelve desde los ejes teóricos </w:t>
      </w:r>
      <w:r>
        <w:rPr>
          <w:rFonts w:ascii="Times New Roman" w:hAnsi="Times New Roman" w:cs="Times New Roman"/>
          <w:sz w:val="24"/>
          <w:szCs w:val="24"/>
        </w:rPr>
        <w:t>de los principios de igualdad y no discriminación</w:t>
      </w:r>
      <w:r>
        <w:rPr>
          <w:rFonts w:ascii="Times New Roman" w:hAnsi="Times New Roman" w:cs="Times New Roman"/>
          <w:sz w:val="24"/>
          <w:szCs w:val="24"/>
        </w:rPr>
        <w:t xml:space="preserve">. El asidero metodológico se basa </w:t>
      </w:r>
      <w:r w:rsidR="00155837">
        <w:rPr>
          <w:rFonts w:ascii="Times New Roman" w:hAnsi="Times New Roman" w:cs="Times New Roman"/>
          <w:sz w:val="24"/>
          <w:szCs w:val="24"/>
        </w:rPr>
        <w:t xml:space="preserve">en la revisión y análisis </w:t>
      </w:r>
      <w:r w:rsidR="00155837">
        <w:rPr>
          <w:rFonts w:ascii="Times New Roman" w:hAnsi="Times New Roman" w:cs="Times New Roman"/>
          <w:sz w:val="24"/>
          <w:szCs w:val="24"/>
        </w:rPr>
        <w:t>de diversas fuentes bibliográficas</w:t>
      </w:r>
      <w:r w:rsidR="00155837">
        <w:rPr>
          <w:rFonts w:ascii="Times New Roman" w:hAnsi="Times New Roman" w:cs="Times New Roman"/>
          <w:sz w:val="24"/>
          <w:szCs w:val="24"/>
        </w:rPr>
        <w:t xml:space="preserve"> respecto a la temática central. </w:t>
      </w:r>
    </w:p>
    <w:p w:rsidR="00155837" w:rsidRPr="00155837" w:rsidRDefault="00690162" w:rsidP="00356C48">
      <w:pPr>
        <w:spacing w:line="360" w:lineRule="auto"/>
        <w:rPr>
          <w:rFonts w:ascii="Times New Roman" w:eastAsia="Times New Roman" w:hAnsi="Times New Roman" w:cs="Times New Roman"/>
          <w:b/>
          <w:spacing w:val="-3"/>
          <w:sz w:val="24"/>
          <w:szCs w:val="24"/>
          <w:lang w:eastAsia="es-ES"/>
        </w:rPr>
      </w:pPr>
      <w:r>
        <w:rPr>
          <w:rFonts w:ascii="Times New Roman" w:eastAsia="Times New Roman" w:hAnsi="Times New Roman" w:cs="Times New Roman"/>
          <w:b/>
          <w:spacing w:val="-3"/>
          <w:sz w:val="24"/>
          <w:szCs w:val="24"/>
          <w:lang w:eastAsia="es-ES"/>
        </w:rPr>
        <w:t>INTRODUCCIÓ</w:t>
      </w:r>
      <w:r w:rsidR="00155837" w:rsidRPr="00155837">
        <w:rPr>
          <w:rFonts w:ascii="Times New Roman" w:eastAsia="Times New Roman" w:hAnsi="Times New Roman" w:cs="Times New Roman"/>
          <w:b/>
          <w:spacing w:val="-3"/>
          <w:sz w:val="24"/>
          <w:szCs w:val="24"/>
          <w:lang w:eastAsia="es-ES"/>
        </w:rPr>
        <w:t xml:space="preserve">N </w:t>
      </w:r>
    </w:p>
    <w:p w:rsidR="00DC1CAE" w:rsidRDefault="006774AB" w:rsidP="00155837">
      <w:pPr>
        <w:spacing w:line="360" w:lineRule="auto"/>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es-ES"/>
        </w:rPr>
        <w:t>E</w:t>
      </w:r>
      <w:r>
        <w:rPr>
          <w:rFonts w:ascii="Times New Roman" w:eastAsia="Times New Roman" w:hAnsi="Times New Roman" w:cs="Times New Roman"/>
          <w:spacing w:val="-3"/>
          <w:sz w:val="24"/>
          <w:szCs w:val="24"/>
          <w:lang w:eastAsia="es-ES"/>
        </w:rPr>
        <w:t>l 22 de febrero de 2012, se publicó en la Gaceta Diario Oficial, la Ley n° 779, “Ley integral contra la violencia hacia las Mujeres y de Reformas a la Ley No. 641 Código Penal”, la cual entró en vigencia el doce de junio de 2012.</w:t>
      </w:r>
      <w:r w:rsidR="00356C48">
        <w:rPr>
          <w:rFonts w:ascii="Times New Roman" w:eastAsia="Times New Roman" w:hAnsi="Times New Roman" w:cs="Times New Roman"/>
          <w:spacing w:val="-3"/>
          <w:sz w:val="24"/>
          <w:szCs w:val="24"/>
          <w:lang w:eastAsia="es-ES"/>
        </w:rPr>
        <w:t xml:space="preserve"> </w:t>
      </w:r>
      <w:r w:rsidR="00155837">
        <w:rPr>
          <w:rFonts w:ascii="Times New Roman" w:eastAsia="Times New Roman" w:hAnsi="Times New Roman" w:cs="Times New Roman"/>
          <w:spacing w:val="-3"/>
          <w:sz w:val="24"/>
          <w:szCs w:val="24"/>
          <w:lang w:eastAsia="es-ES"/>
        </w:rPr>
        <w:t xml:space="preserve"> </w:t>
      </w:r>
      <w:r w:rsidR="00356C48">
        <w:rPr>
          <w:rFonts w:ascii="Times New Roman" w:eastAsia="Times New Roman" w:hAnsi="Times New Roman" w:cs="Times New Roman"/>
          <w:spacing w:val="-3"/>
          <w:sz w:val="24"/>
          <w:szCs w:val="24"/>
          <w:lang w:eastAsia="es-ES"/>
        </w:rPr>
        <w:t>L</w:t>
      </w:r>
      <w:r w:rsidR="00DC1CAE">
        <w:rPr>
          <w:rFonts w:ascii="Times New Roman" w:eastAsia="Times New Roman" w:hAnsi="Times New Roman" w:cs="Times New Roman"/>
          <w:spacing w:val="-3"/>
          <w:sz w:val="24"/>
          <w:szCs w:val="24"/>
          <w:lang w:eastAsia="es-ES"/>
        </w:rPr>
        <w:t xml:space="preserve">ejos de la avenencia que cabría encontrar un abordaje especializado de los delitos de violencia hacia la mujer en el ámbito de las relaciones de pareja, su puesta en marcha no ha </w:t>
      </w:r>
      <w:r w:rsidR="00DC1CAE">
        <w:rPr>
          <w:rFonts w:ascii="Times New Roman" w:eastAsia="Times New Roman" w:hAnsi="Times New Roman" w:cs="Times New Roman"/>
          <w:spacing w:val="-3"/>
          <w:sz w:val="24"/>
          <w:szCs w:val="24"/>
          <w:lang w:eastAsia="es-ES"/>
        </w:rPr>
        <w:t xml:space="preserve">estado dispensada de críticas, pues </w:t>
      </w:r>
      <w:r w:rsidR="00DC1CAE">
        <w:rPr>
          <w:rFonts w:ascii="Times New Roman" w:hAnsi="Times New Roman" w:cs="Times New Roman"/>
          <w:sz w:val="24"/>
          <w:szCs w:val="24"/>
        </w:rPr>
        <w:t xml:space="preserve">a juicios de </w:t>
      </w:r>
      <w:r w:rsidR="00DC1CAE">
        <w:rPr>
          <w:rFonts w:ascii="Times New Roman" w:hAnsi="Times New Roman" w:cs="Times New Roman"/>
          <w:sz w:val="24"/>
          <w:szCs w:val="24"/>
        </w:rPr>
        <w:t>un sector</w:t>
      </w:r>
      <w:r w:rsidR="00DC1CAE">
        <w:rPr>
          <w:rFonts w:ascii="Times New Roman" w:hAnsi="Times New Roman" w:cs="Times New Roman"/>
          <w:sz w:val="24"/>
          <w:szCs w:val="24"/>
        </w:rPr>
        <w:t xml:space="preserve">, la introducción de las nuevas figuras delictivas de la Ley </w:t>
      </w:r>
      <w:r w:rsidR="00DC1CAE">
        <w:rPr>
          <w:rFonts w:ascii="Times New Roman" w:eastAsia="Times New Roman" w:hAnsi="Times New Roman" w:cs="Times New Roman"/>
          <w:spacing w:val="-3"/>
          <w:sz w:val="24"/>
          <w:szCs w:val="24"/>
          <w:lang w:eastAsia="es-ES"/>
        </w:rPr>
        <w:t>n°</w:t>
      </w:r>
      <w:r w:rsidR="00DC1CAE">
        <w:rPr>
          <w:rFonts w:ascii="Times New Roman" w:hAnsi="Times New Roman" w:cs="Times New Roman"/>
          <w:sz w:val="24"/>
          <w:szCs w:val="24"/>
        </w:rPr>
        <w:t xml:space="preserve"> 779, entre ellas el femicidio, colisionan con los principios igualdad y no discriminación por razones de sexo, ya que su configuración exige la pertenencia del  sexo masculino del sujeto activo en contraposición a una víctima del sexo femenino, lo cual, a criterio de aquellos, introduce un criterio discriminatorio favorable a la mujer en detrimento de la condición masculina, en un campo tan sensible como el orden penal. </w:t>
      </w:r>
    </w:p>
    <w:p w:rsidR="00DC1CAE" w:rsidRDefault="00DC1CAE" w:rsidP="00DC1C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este planteamiento derivamos las interrogantes claves de este análisis ¿cómo justificar racionalmente desde una óptica constitucional el trato diferenciado de algunas figuras delictivas de la Ley </w:t>
      </w:r>
      <w:r>
        <w:rPr>
          <w:rFonts w:ascii="Times New Roman" w:eastAsia="Times New Roman" w:hAnsi="Times New Roman" w:cs="Times New Roman"/>
          <w:spacing w:val="-3"/>
          <w:sz w:val="24"/>
          <w:szCs w:val="24"/>
          <w:lang w:eastAsia="es-ES"/>
        </w:rPr>
        <w:t xml:space="preserve">n° </w:t>
      </w:r>
      <w:r>
        <w:rPr>
          <w:rFonts w:ascii="Times New Roman" w:hAnsi="Times New Roman" w:cs="Times New Roman"/>
          <w:sz w:val="24"/>
          <w:szCs w:val="24"/>
        </w:rPr>
        <w:t xml:space="preserve">779? En corolario a esa interrogante, el objetivo primordial de nuestro estudio es discutir acerca de la constitucionalidad de la tutela punitiva de la violencia </w:t>
      </w:r>
      <w:r>
        <w:rPr>
          <w:rFonts w:ascii="Times New Roman" w:hAnsi="Times New Roman" w:cs="Times New Roman"/>
          <w:sz w:val="24"/>
          <w:szCs w:val="24"/>
        </w:rPr>
        <w:lastRenderedPageBreak/>
        <w:t xml:space="preserve">contra la mujer regulada en la Ley </w:t>
      </w:r>
      <w:r>
        <w:rPr>
          <w:rFonts w:ascii="Times New Roman" w:eastAsia="Times New Roman" w:hAnsi="Times New Roman" w:cs="Times New Roman"/>
          <w:spacing w:val="-3"/>
          <w:sz w:val="24"/>
          <w:szCs w:val="24"/>
          <w:lang w:eastAsia="es-ES"/>
        </w:rPr>
        <w:t xml:space="preserve">n° </w:t>
      </w:r>
      <w:r>
        <w:rPr>
          <w:rFonts w:ascii="Times New Roman" w:hAnsi="Times New Roman" w:cs="Times New Roman"/>
          <w:sz w:val="24"/>
          <w:szCs w:val="24"/>
        </w:rPr>
        <w:t>779, con la finalidad de aclarar su entronque con los principios de igualdad y no discriminación consagrados en la ley fundamental del país.</w:t>
      </w:r>
    </w:p>
    <w:p w:rsidR="004E7E1B" w:rsidRDefault="004E7E1B" w:rsidP="00DC1CAE">
      <w:pPr>
        <w:spacing w:after="0" w:line="360" w:lineRule="auto"/>
        <w:jc w:val="both"/>
        <w:rPr>
          <w:rFonts w:ascii="Times New Roman" w:hAnsi="Times New Roman" w:cs="Times New Roman"/>
          <w:sz w:val="24"/>
          <w:szCs w:val="24"/>
        </w:rPr>
      </w:pPr>
    </w:p>
    <w:p w:rsidR="00155837" w:rsidRDefault="00155837" w:rsidP="004E7E1B">
      <w:pPr>
        <w:spacing w:line="360" w:lineRule="auto"/>
        <w:jc w:val="both"/>
        <w:rPr>
          <w:rFonts w:ascii="Times New Roman" w:hAnsi="Times New Roman" w:cs="Times New Roman"/>
          <w:b/>
          <w:sz w:val="24"/>
          <w:szCs w:val="24"/>
        </w:rPr>
      </w:pPr>
      <w:r w:rsidRPr="00155837">
        <w:rPr>
          <w:rFonts w:ascii="Times New Roman" w:hAnsi="Times New Roman" w:cs="Times New Roman"/>
          <w:b/>
          <w:sz w:val="24"/>
          <w:szCs w:val="24"/>
        </w:rPr>
        <w:t>MARCO REFERENCIAL</w:t>
      </w:r>
    </w:p>
    <w:p w:rsidR="00690162" w:rsidRDefault="00690162" w:rsidP="00690162">
      <w:pPr>
        <w:spacing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La máxima de igualdad constituye un principio muy antiguo. En la modernidad, esta proclama se encuentra enunciada en la mayoría de las constituciones del mundo</w:t>
      </w:r>
      <w:r>
        <w:rPr>
          <w:rFonts w:ascii="Times New Roman" w:eastAsia="Times New Roman" w:hAnsi="Times New Roman" w:cs="Times New Roman"/>
          <w:spacing w:val="-3"/>
          <w:sz w:val="24"/>
          <w:szCs w:val="24"/>
          <w:lang w:eastAsia="es-ES"/>
        </w:rPr>
        <w:t xml:space="preserve">. Pero, cuando </w:t>
      </w:r>
      <w:r>
        <w:rPr>
          <w:rFonts w:ascii="Times New Roman" w:eastAsia="Times New Roman" w:hAnsi="Times New Roman" w:cs="Times New Roman"/>
          <w:spacing w:val="-3"/>
          <w:sz w:val="24"/>
          <w:szCs w:val="24"/>
          <w:lang w:eastAsia="es-ES"/>
        </w:rPr>
        <w:t>evaluamos las condiciones de las mujeres colocándolas en situaciones materiales de igualdad, nos damos cuenta que enfrentan innumerables realidades que limitan el ejercicio de sus derechos.</w:t>
      </w:r>
    </w:p>
    <w:p w:rsidR="00690162" w:rsidRDefault="00690162" w:rsidP="00690162">
      <w:pPr>
        <w:spacing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Diversos estudios dogmáticos, entre muchos otros los realizados por BALAGUER CALLEJÓN (1999, p. 3), MAQUEDA ABREU (2006, p. 2), QUINTERO OLIVARES (2007, p. 427), BONET ESTEVA (2010, p. 30), LAURENZO COPELLO (2012, p. 152), concuerdan que en la vida cotidiana de las mujeres se presentan muestras de esa desigualdad fáctica e histórica que enfrentan respecto al sexo masculino. Un ejemplo palpable lo constituye el nivel de violencia padecido hoy por este colectivo, la cual es un poderoso instrumento para mantener a las mujer</w:t>
      </w:r>
      <w:r>
        <w:rPr>
          <w:rFonts w:ascii="Times New Roman" w:eastAsia="Times New Roman" w:hAnsi="Times New Roman" w:cs="Times New Roman"/>
          <w:spacing w:val="-3"/>
          <w:sz w:val="24"/>
          <w:szCs w:val="24"/>
          <w:lang w:eastAsia="es-ES"/>
        </w:rPr>
        <w:t>es en situación de inferioridad.</w:t>
      </w:r>
    </w:p>
    <w:p w:rsidR="00690162" w:rsidRDefault="00690162" w:rsidP="00690162">
      <w:pPr>
        <w:spacing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Razón por la cual, no es correlativo a la máxima de justicia brindar un tratamiento igua</w:t>
      </w:r>
      <w:r>
        <w:rPr>
          <w:rFonts w:ascii="Times New Roman" w:eastAsia="Times New Roman" w:hAnsi="Times New Roman" w:cs="Times New Roman"/>
          <w:spacing w:val="-3"/>
          <w:sz w:val="24"/>
          <w:szCs w:val="24"/>
          <w:lang w:eastAsia="es-ES"/>
        </w:rPr>
        <w:t xml:space="preserve">litario a colectivos desiguales. </w:t>
      </w:r>
      <w:r>
        <w:rPr>
          <w:rFonts w:ascii="Times New Roman" w:eastAsia="Times New Roman" w:hAnsi="Times New Roman" w:cs="Times New Roman"/>
          <w:spacing w:val="-3"/>
          <w:sz w:val="24"/>
          <w:szCs w:val="24"/>
          <w:lang w:eastAsia="es-ES"/>
        </w:rPr>
        <w:t xml:space="preserve">En palabras de DIEZ-PICAZO (2008) es lo que conocemos como la paradoja de la igualdad que supone: “quien desee igualdades de hecho tiene que aceptar desigualdades de </w:t>
      </w:r>
      <w:r>
        <w:rPr>
          <w:rFonts w:ascii="Times New Roman" w:eastAsia="Times New Roman" w:hAnsi="Times New Roman" w:cs="Times New Roman"/>
          <w:i/>
          <w:spacing w:val="-3"/>
          <w:sz w:val="24"/>
          <w:szCs w:val="24"/>
          <w:lang w:eastAsia="es-ES"/>
        </w:rPr>
        <w:t>iure</w:t>
      </w:r>
      <w:r>
        <w:rPr>
          <w:rFonts w:ascii="Times New Roman" w:eastAsia="Times New Roman" w:hAnsi="Times New Roman" w:cs="Times New Roman"/>
          <w:spacing w:val="-3"/>
          <w:sz w:val="24"/>
          <w:szCs w:val="24"/>
          <w:lang w:eastAsia="es-ES"/>
        </w:rPr>
        <w:t>” (p. 12).</w:t>
      </w:r>
    </w:p>
    <w:p w:rsidR="00690162" w:rsidRDefault="00690162" w:rsidP="00690162">
      <w:pPr>
        <w:spacing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En esa línea argumentativa se pronuncia LAURENZO COPELLO (2005) cuando expresa que: “una aplicación 'neutra' e indiferenciada del principio de igualdad formal sólo consigue perpetuar y ahondar la desigualdad sustancial que oprime a determinados colectivos.” (p. 8)</w:t>
      </w:r>
    </w:p>
    <w:p w:rsidR="00155837" w:rsidRPr="00155837" w:rsidRDefault="00155837" w:rsidP="004E7E1B">
      <w:pPr>
        <w:spacing w:line="360" w:lineRule="auto"/>
        <w:jc w:val="both"/>
        <w:rPr>
          <w:rFonts w:ascii="Times New Roman" w:hAnsi="Times New Roman" w:cs="Times New Roman"/>
          <w:b/>
          <w:sz w:val="24"/>
          <w:szCs w:val="24"/>
        </w:rPr>
      </w:pPr>
      <w:r w:rsidRPr="00155837">
        <w:rPr>
          <w:rFonts w:ascii="Times New Roman" w:hAnsi="Times New Roman" w:cs="Times New Roman"/>
          <w:b/>
          <w:sz w:val="24"/>
          <w:szCs w:val="24"/>
        </w:rPr>
        <w:t>MARCO METODOLÓGICO</w:t>
      </w:r>
    </w:p>
    <w:p w:rsidR="004E7E1B" w:rsidRDefault="004E7E1B" w:rsidP="004E7E1B">
      <w:pPr>
        <w:spacing w:line="360" w:lineRule="auto"/>
        <w:jc w:val="both"/>
        <w:rPr>
          <w:rFonts w:ascii="Times New Roman" w:hAnsi="Times New Roman" w:cs="Times New Roman"/>
          <w:sz w:val="24"/>
          <w:szCs w:val="24"/>
        </w:rPr>
      </w:pPr>
      <w:r w:rsidRPr="00356C48">
        <w:rPr>
          <w:rFonts w:ascii="Times New Roman" w:hAnsi="Times New Roman" w:cs="Times New Roman"/>
          <w:sz w:val="24"/>
          <w:szCs w:val="24"/>
        </w:rPr>
        <w:t xml:space="preserve">Metodológicamente este artículo investigativo está </w:t>
      </w:r>
      <w:r w:rsidRPr="00356C48">
        <w:rPr>
          <w:rFonts w:ascii="Times New Roman" w:hAnsi="Times New Roman" w:cs="Times New Roman"/>
          <w:sz w:val="24"/>
          <w:szCs w:val="24"/>
        </w:rPr>
        <w:t>sustentado</w:t>
      </w:r>
      <w:r w:rsidRPr="00356C48">
        <w:rPr>
          <w:rFonts w:ascii="Times New Roman" w:hAnsi="Times New Roman" w:cs="Times New Roman"/>
          <w:sz w:val="24"/>
          <w:szCs w:val="24"/>
        </w:rPr>
        <w:t xml:space="preserve"> sobre una base teórica obtenida mediante las consultas de diversas fuentes bibliográficas en formato electrónico e impreso, contenida en libros, revistas, artículos científicos y tesis doctorales. La información recabada fue procesada recurriendo al método </w:t>
      </w:r>
      <w:r w:rsidRPr="00356C48">
        <w:rPr>
          <w:rFonts w:ascii="Times New Roman" w:hAnsi="Times New Roman" w:cs="Times New Roman"/>
          <w:sz w:val="24"/>
          <w:szCs w:val="24"/>
        </w:rPr>
        <w:t xml:space="preserve">analítico </w:t>
      </w:r>
      <w:r w:rsidRPr="00356C48">
        <w:rPr>
          <w:rFonts w:ascii="Times New Roman" w:hAnsi="Times New Roman" w:cs="Times New Roman"/>
          <w:sz w:val="24"/>
          <w:szCs w:val="24"/>
        </w:rPr>
        <w:t>deductivo, partiendo de aquellos</w:t>
      </w:r>
      <w:r>
        <w:rPr>
          <w:rFonts w:ascii="Gill Sans MT" w:hAnsi="Gill Sans MT"/>
          <w:sz w:val="24"/>
          <w:szCs w:val="24"/>
        </w:rPr>
        <w:t xml:space="preserve"> </w:t>
      </w:r>
      <w:r w:rsidRPr="00356C48">
        <w:rPr>
          <w:rFonts w:ascii="Times New Roman" w:hAnsi="Times New Roman" w:cs="Times New Roman"/>
          <w:sz w:val="24"/>
          <w:szCs w:val="24"/>
        </w:rPr>
        <w:t xml:space="preserve">aspectos más generales como la aproximación teórica de los principios de igualdad y no </w:t>
      </w:r>
      <w:r w:rsidRPr="00356C48">
        <w:rPr>
          <w:rFonts w:ascii="Times New Roman" w:hAnsi="Times New Roman" w:cs="Times New Roman"/>
          <w:sz w:val="24"/>
          <w:szCs w:val="24"/>
        </w:rPr>
        <w:lastRenderedPageBreak/>
        <w:t xml:space="preserve">discriminación hasta desembocar a aspectos más particulares como el análisis de la inconstitucionalidad de la Ley N˚ 779. </w:t>
      </w:r>
    </w:p>
    <w:p w:rsidR="00690162" w:rsidRPr="00690162" w:rsidRDefault="00690162" w:rsidP="004E7E1B">
      <w:pPr>
        <w:spacing w:line="360" w:lineRule="auto"/>
        <w:jc w:val="both"/>
        <w:rPr>
          <w:rFonts w:ascii="Times New Roman" w:hAnsi="Times New Roman" w:cs="Times New Roman"/>
          <w:b/>
          <w:sz w:val="24"/>
          <w:szCs w:val="24"/>
        </w:rPr>
      </w:pPr>
      <w:r w:rsidRPr="00690162">
        <w:rPr>
          <w:rFonts w:ascii="Times New Roman" w:hAnsi="Times New Roman" w:cs="Times New Roman"/>
          <w:b/>
          <w:sz w:val="24"/>
          <w:szCs w:val="24"/>
        </w:rPr>
        <w:t xml:space="preserve">RESULTADOS DE LA DISCUSIÓN </w:t>
      </w:r>
    </w:p>
    <w:p w:rsidR="00356C48" w:rsidRPr="00356C48" w:rsidRDefault="00356C48" w:rsidP="004E7E1B">
      <w:pPr>
        <w:spacing w:line="360" w:lineRule="auto"/>
        <w:jc w:val="both"/>
        <w:rPr>
          <w:rFonts w:ascii="Times New Roman" w:hAnsi="Times New Roman" w:cs="Times New Roman"/>
          <w:sz w:val="24"/>
          <w:szCs w:val="24"/>
        </w:rPr>
      </w:pPr>
      <w:r w:rsidRPr="00356C48">
        <w:rPr>
          <w:rFonts w:ascii="Times New Roman" w:hAnsi="Times New Roman" w:cs="Times New Roman"/>
          <w:sz w:val="24"/>
          <w:szCs w:val="24"/>
        </w:rPr>
        <w:t>Las conclusiones más destacadas de nuestro análisis son las siguientes:</w:t>
      </w:r>
    </w:p>
    <w:p w:rsidR="00356C48" w:rsidRDefault="00356C48" w:rsidP="00356C48">
      <w:pPr>
        <w:pStyle w:val="Prrafodelista"/>
        <w:numPr>
          <w:ilvl w:val="0"/>
          <w:numId w:val="1"/>
        </w:numPr>
        <w:spacing w:line="360" w:lineRule="auto"/>
        <w:jc w:val="both"/>
        <w:rPr>
          <w:rFonts w:ascii="Times New Roman" w:eastAsia="Times New Roman" w:hAnsi="Times New Roman" w:cs="Times New Roman"/>
          <w:spacing w:val="-3"/>
          <w:sz w:val="24"/>
          <w:szCs w:val="24"/>
          <w:lang w:eastAsia="es-ES"/>
        </w:rPr>
      </w:pPr>
      <w:r w:rsidRPr="00356C48">
        <w:rPr>
          <w:rFonts w:ascii="Times New Roman" w:eastAsia="Times New Roman" w:hAnsi="Times New Roman" w:cs="Times New Roman"/>
          <w:spacing w:val="-3"/>
          <w:sz w:val="24"/>
          <w:szCs w:val="24"/>
          <w:lang w:eastAsia="es-ES"/>
        </w:rPr>
        <w:t>L</w:t>
      </w:r>
      <w:r w:rsidRPr="00356C48">
        <w:rPr>
          <w:rFonts w:ascii="Times New Roman" w:eastAsia="Times New Roman" w:hAnsi="Times New Roman" w:cs="Times New Roman"/>
          <w:spacing w:val="-3"/>
          <w:sz w:val="24"/>
          <w:szCs w:val="24"/>
          <w:lang w:eastAsia="es-ES"/>
        </w:rPr>
        <w:t>a violencia contra la mujer no es un fenómeno sexualmente neutro, siendo mayoritario el número de hombres que privan de la vida o lesionan la integridad física o psíquica de las mujeres, por tanto, la tutela penal precisa de acudir a una técnica legislativa reveladora de la dialéctica en la que suele presentarse la violencia en la pareja (de forma más frecuente en una relación varón-mujer).</w:t>
      </w:r>
    </w:p>
    <w:p w:rsidR="00356C48" w:rsidRPr="00356C48" w:rsidRDefault="00356C48" w:rsidP="00356C48">
      <w:pPr>
        <w:pStyle w:val="Prrafodelista"/>
        <w:spacing w:line="360" w:lineRule="auto"/>
        <w:ind w:left="360"/>
        <w:jc w:val="both"/>
        <w:rPr>
          <w:rFonts w:ascii="Times New Roman" w:eastAsia="Times New Roman" w:hAnsi="Times New Roman" w:cs="Times New Roman"/>
          <w:spacing w:val="-3"/>
          <w:sz w:val="24"/>
          <w:szCs w:val="24"/>
          <w:lang w:eastAsia="es-ES"/>
        </w:rPr>
      </w:pPr>
    </w:p>
    <w:p w:rsidR="00356C48" w:rsidRDefault="00356C48" w:rsidP="00356C48">
      <w:pPr>
        <w:pStyle w:val="Prrafodelista"/>
        <w:numPr>
          <w:ilvl w:val="0"/>
          <w:numId w:val="1"/>
        </w:numPr>
        <w:spacing w:after="0"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La violencia hacia a la mujer es más que un simple dato estadístico o numérico, es una realidad entroncada en un paradigma sociocultural patriarcal de subordinación del hombre respecto de la mujer que persisten en nuestras sociedades aun </w:t>
      </w:r>
      <w:r w:rsidR="00690162">
        <w:rPr>
          <w:rFonts w:ascii="Times New Roman" w:eastAsia="Times New Roman" w:hAnsi="Times New Roman" w:cs="Times New Roman"/>
          <w:spacing w:val="-3"/>
          <w:sz w:val="24"/>
          <w:szCs w:val="24"/>
          <w:lang w:eastAsia="es-ES"/>
        </w:rPr>
        <w:t>en las</w:t>
      </w:r>
      <w:r>
        <w:rPr>
          <w:rFonts w:ascii="Times New Roman" w:eastAsia="Times New Roman" w:hAnsi="Times New Roman" w:cs="Times New Roman"/>
          <w:spacing w:val="-3"/>
          <w:sz w:val="24"/>
          <w:szCs w:val="24"/>
          <w:lang w:eastAsia="es-ES"/>
        </w:rPr>
        <w:t xml:space="preserve"> modernas. En consecuencia, a través de la tutela penal no solo se reprocha la lesión puntual al bien jurídico protegido (vida, libertad, seguridad personal, integridad física y emocional) sino también los derechos fundamentales de igualdad, no discriminación, dignidad y libertad sustancial de las mujeres que indirectamente se ven transgredido</w:t>
      </w:r>
      <w:r w:rsidR="00690162">
        <w:rPr>
          <w:rFonts w:ascii="Times New Roman" w:eastAsia="Times New Roman" w:hAnsi="Times New Roman" w:cs="Times New Roman"/>
          <w:spacing w:val="-3"/>
          <w:sz w:val="24"/>
          <w:szCs w:val="24"/>
          <w:lang w:eastAsia="es-ES"/>
        </w:rPr>
        <w:t>s con las violencias de género.</w:t>
      </w:r>
    </w:p>
    <w:p w:rsidR="00356C48" w:rsidRDefault="00356C48" w:rsidP="00356C48">
      <w:pPr>
        <w:pStyle w:val="Prrafodelista"/>
        <w:spacing w:line="360" w:lineRule="auto"/>
        <w:rPr>
          <w:rFonts w:ascii="Times New Roman" w:eastAsia="Times New Roman" w:hAnsi="Times New Roman" w:cs="Times New Roman"/>
          <w:spacing w:val="-3"/>
          <w:sz w:val="24"/>
          <w:szCs w:val="24"/>
          <w:lang w:eastAsia="es-ES"/>
        </w:rPr>
      </w:pPr>
    </w:p>
    <w:p w:rsidR="00356C48" w:rsidRDefault="00356C48" w:rsidP="00356C48">
      <w:pPr>
        <w:pStyle w:val="Prrafodelista"/>
        <w:numPr>
          <w:ilvl w:val="0"/>
          <w:numId w:val="1"/>
        </w:numPr>
        <w:spacing w:after="0"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La intervención penal intensa en favor de las mujeres ante comportamientos violentos por sus parejas masculinas no colisiona con el principio constitucional de igualdad  ante la ley,  pues está claro que este tipo de violencia ejercida en detrimento del colectivo femenino por sus congéneres varones no guarda identidad cuando se presenta en sentido opuesto, en los supuestos, ese tratamiento jurídico diferenciador está justificado objetivamente al encontrarnos en presencia de supuestos fácticos distintos. </w:t>
      </w:r>
    </w:p>
    <w:p w:rsidR="00356C48" w:rsidRDefault="00356C48" w:rsidP="00356C48">
      <w:pPr>
        <w:pStyle w:val="Prrafodelista"/>
        <w:spacing w:line="360" w:lineRule="auto"/>
        <w:rPr>
          <w:rFonts w:ascii="Times New Roman" w:eastAsia="Times New Roman" w:hAnsi="Times New Roman" w:cs="Times New Roman"/>
          <w:spacing w:val="-3"/>
          <w:sz w:val="24"/>
          <w:szCs w:val="24"/>
          <w:lang w:eastAsia="es-ES"/>
        </w:rPr>
      </w:pPr>
    </w:p>
    <w:p w:rsidR="00356C48" w:rsidRDefault="00356C48" w:rsidP="00356C48">
      <w:pPr>
        <w:pStyle w:val="Prrafodelista"/>
        <w:numPr>
          <w:ilvl w:val="0"/>
          <w:numId w:val="1"/>
        </w:numPr>
        <w:spacing w:after="0" w:line="36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A nuestro juicio, la </w:t>
      </w:r>
      <w:r>
        <w:rPr>
          <w:rFonts w:ascii="Times New Roman" w:hAnsi="Times New Roman" w:cs="Times New Roman"/>
          <w:sz w:val="24"/>
          <w:szCs w:val="24"/>
        </w:rPr>
        <w:t xml:space="preserve">Ley </w:t>
      </w:r>
      <w:r>
        <w:rPr>
          <w:rFonts w:ascii="Times New Roman" w:eastAsia="Times New Roman" w:hAnsi="Times New Roman" w:cs="Times New Roman"/>
          <w:spacing w:val="-3"/>
          <w:sz w:val="24"/>
          <w:szCs w:val="24"/>
          <w:lang w:eastAsia="es-ES"/>
        </w:rPr>
        <w:t xml:space="preserve">n° </w:t>
      </w:r>
      <w:r>
        <w:rPr>
          <w:rFonts w:ascii="Times New Roman" w:hAnsi="Times New Roman" w:cs="Times New Roman"/>
          <w:sz w:val="24"/>
          <w:szCs w:val="24"/>
        </w:rPr>
        <w:t xml:space="preserve">779 tampoco infringe el derecho fundamental de no discriminación porque no hay identidad en la razón jurídica en el tratamiento que la norma penal le dispensa a hechos de violencia, es otras palabras, no es la misma finalidad constitucional perseguida por las tipologías penales básicas o generales de homicidio, lesiones físicas o psíquicas y la pretendida por los delitos introducidos con la ley especial </w:t>
      </w:r>
      <w:r>
        <w:rPr>
          <w:rFonts w:ascii="Times New Roman" w:hAnsi="Times New Roman" w:cs="Times New Roman"/>
          <w:sz w:val="24"/>
          <w:szCs w:val="24"/>
        </w:rPr>
        <w:lastRenderedPageBreak/>
        <w:t xml:space="preserve">contra la violencia hacia la mujer en sus relaciones de pareja (femicidio, violencia física, violencia psicológica, amenazas e intimidación contra la mujer). </w:t>
      </w:r>
    </w:p>
    <w:p w:rsidR="00356C48" w:rsidRDefault="00356C48" w:rsidP="00356C48">
      <w:pPr>
        <w:pStyle w:val="Prrafodelista"/>
        <w:spacing w:line="360" w:lineRule="auto"/>
        <w:rPr>
          <w:rFonts w:ascii="Times New Roman" w:hAnsi="Times New Roman" w:cs="Times New Roman"/>
          <w:sz w:val="24"/>
          <w:szCs w:val="24"/>
        </w:rPr>
      </w:pPr>
    </w:p>
    <w:p w:rsidR="00356C48" w:rsidRPr="004D5BA0" w:rsidRDefault="00356C48" w:rsidP="00356C48">
      <w:pPr>
        <w:pStyle w:val="Prrafodelista"/>
        <w:numPr>
          <w:ilvl w:val="0"/>
          <w:numId w:val="1"/>
        </w:numPr>
        <w:spacing w:after="0" w:line="360" w:lineRule="auto"/>
        <w:jc w:val="both"/>
        <w:rPr>
          <w:rFonts w:ascii="Times New Roman" w:eastAsia="Times New Roman" w:hAnsi="Times New Roman" w:cs="Times New Roman"/>
          <w:spacing w:val="-3"/>
          <w:sz w:val="24"/>
          <w:szCs w:val="24"/>
          <w:lang w:eastAsia="es-ES"/>
        </w:rPr>
      </w:pPr>
      <w:r>
        <w:rPr>
          <w:rFonts w:ascii="Times New Roman" w:hAnsi="Times New Roman" w:cs="Times New Roman"/>
          <w:sz w:val="24"/>
          <w:szCs w:val="24"/>
        </w:rPr>
        <w:t xml:space="preserve">El fundamento de la creación de los tipos penales asociados al género debe ser entendida desde el prisma de protección de la víctima y el grado de lesividad de la conducta del agresor, lo cual justifica la imposición de una pena superior en determinadas conductas que se producen en el ámbito de la pareja íntima.  </w:t>
      </w:r>
    </w:p>
    <w:p w:rsidR="004D5BA0" w:rsidRDefault="004D5BA0" w:rsidP="004D5BA0">
      <w:pPr>
        <w:pStyle w:val="Prrafodelista"/>
        <w:spacing w:after="0" w:line="360" w:lineRule="auto"/>
        <w:ind w:left="360"/>
        <w:jc w:val="both"/>
        <w:rPr>
          <w:rFonts w:ascii="Times New Roman" w:eastAsia="Times New Roman" w:hAnsi="Times New Roman" w:cs="Times New Roman"/>
          <w:spacing w:val="-3"/>
          <w:sz w:val="24"/>
          <w:szCs w:val="24"/>
          <w:lang w:eastAsia="es-ES"/>
        </w:rPr>
      </w:pPr>
      <w:bookmarkStart w:id="0" w:name="_GoBack"/>
      <w:bookmarkEnd w:id="0"/>
    </w:p>
    <w:p w:rsidR="00356C48" w:rsidRDefault="004D5BA0" w:rsidP="00356C48">
      <w:pPr>
        <w:spacing w:line="360" w:lineRule="auto"/>
        <w:jc w:val="both"/>
        <w:rPr>
          <w:rFonts w:ascii="Times New Roman" w:hAnsi="Times New Roman" w:cs="Times New Roman"/>
          <w:b/>
          <w:sz w:val="24"/>
          <w:szCs w:val="24"/>
          <w:lang w:val="es-ES"/>
        </w:rPr>
      </w:pPr>
      <w:r w:rsidRPr="004D5BA0">
        <w:rPr>
          <w:rFonts w:ascii="Times New Roman" w:hAnsi="Times New Roman" w:cs="Times New Roman"/>
          <w:b/>
          <w:sz w:val="24"/>
          <w:szCs w:val="24"/>
          <w:lang w:val="es-ES"/>
        </w:rPr>
        <w:t xml:space="preserve">REFERENCIAS BIBLIOGRÁFICAS </w:t>
      </w:r>
    </w:p>
    <w:p w:rsidR="004D5BA0" w:rsidRDefault="004D5BA0" w:rsidP="004D5BA0">
      <w:pPr>
        <w:autoSpaceDE w:val="0"/>
        <w:autoSpaceDN w:val="0"/>
        <w:adjustRightInd w:val="0"/>
        <w:spacing w:after="0" w:line="240" w:lineRule="auto"/>
        <w:ind w:hanging="709"/>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BALAGUER CALLEJÓN, M. L. La igualdad de derechos de la mujer en el ordenamiento jurídico español. En </w:t>
      </w:r>
      <w:r>
        <w:rPr>
          <w:rFonts w:ascii="Times New Roman" w:eastAsia="Times New Roman" w:hAnsi="Times New Roman" w:cs="Times New Roman"/>
          <w:i/>
          <w:spacing w:val="-3"/>
          <w:sz w:val="24"/>
          <w:szCs w:val="24"/>
          <w:lang w:eastAsia="es-ES"/>
        </w:rPr>
        <w:t xml:space="preserve">Boletín de información jurídica, Instituto Andaluz de la mujer. </w:t>
      </w:r>
      <w:r>
        <w:rPr>
          <w:rFonts w:ascii="Times New Roman" w:eastAsia="Times New Roman" w:hAnsi="Times New Roman" w:cs="Times New Roman"/>
          <w:spacing w:val="-3"/>
          <w:sz w:val="24"/>
          <w:szCs w:val="24"/>
          <w:lang w:eastAsia="es-ES"/>
        </w:rPr>
        <w:t>(1999)</w:t>
      </w:r>
      <w:r>
        <w:rPr>
          <w:rFonts w:ascii="Times New Roman" w:eastAsia="Times New Roman" w:hAnsi="Times New Roman" w:cs="Times New Roman"/>
          <w:i/>
          <w:spacing w:val="-3"/>
          <w:sz w:val="24"/>
          <w:szCs w:val="24"/>
          <w:lang w:eastAsia="es-ES"/>
        </w:rPr>
        <w:t xml:space="preserve"> </w:t>
      </w:r>
      <w:r>
        <w:rPr>
          <w:rFonts w:ascii="Times New Roman" w:eastAsia="Times New Roman" w:hAnsi="Times New Roman" w:cs="Times New Roman"/>
          <w:spacing w:val="-3"/>
          <w:sz w:val="24"/>
          <w:szCs w:val="24"/>
          <w:lang w:eastAsia="es-ES"/>
        </w:rPr>
        <w:t xml:space="preserve">Recuperado de  </w:t>
      </w:r>
      <w:hyperlink r:id="rId7" w:history="1">
        <w:r>
          <w:rPr>
            <w:rStyle w:val="Hipervnculo"/>
            <w:rFonts w:ascii="Times New Roman" w:eastAsia="Times New Roman" w:hAnsi="Times New Roman" w:cs="Times New Roman"/>
            <w:spacing w:val="-3"/>
            <w:sz w:val="24"/>
            <w:szCs w:val="24"/>
            <w:lang w:eastAsia="es-ES"/>
          </w:rPr>
          <w:t>http://www.juntadeandalucia.es/iam/catalogo/doc/articulo14/Articulo14_1.pdf</w:t>
        </w:r>
      </w:hyperlink>
    </w:p>
    <w:p w:rsidR="004D5BA0" w:rsidRDefault="004D5BA0" w:rsidP="004D5BA0">
      <w:pPr>
        <w:autoSpaceDE w:val="0"/>
        <w:autoSpaceDN w:val="0"/>
        <w:adjustRightInd w:val="0"/>
        <w:spacing w:after="0" w:line="240" w:lineRule="auto"/>
        <w:ind w:hanging="709"/>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es-ES"/>
        </w:rPr>
        <w:t xml:space="preserve">BONET ESTEVA, M. </w:t>
      </w:r>
      <w:r>
        <w:rPr>
          <w:rFonts w:ascii="Times New Roman" w:hAnsi="Times New Roman" w:cs="Times New Roman"/>
          <w:sz w:val="24"/>
          <w:szCs w:val="24"/>
        </w:rPr>
        <w:t xml:space="preserve">¿Debe ser redefinida la neutralidad de la ley penal ante el género? </w:t>
      </w:r>
      <w:r>
        <w:rPr>
          <w:rFonts w:ascii="Times New Roman" w:eastAsia="Times New Roman" w:hAnsi="Times New Roman" w:cs="Times New Roman"/>
          <w:spacing w:val="-3"/>
          <w:sz w:val="24"/>
          <w:szCs w:val="24"/>
          <w:lang w:eastAsia="es-ES"/>
        </w:rPr>
        <w:t>(2010)</w:t>
      </w:r>
      <w:r>
        <w:rPr>
          <w:rFonts w:ascii="Times New Roman" w:hAnsi="Times New Roman" w:cs="Times New Roman"/>
          <w:sz w:val="24"/>
          <w:szCs w:val="24"/>
        </w:rPr>
        <w:t xml:space="preserve"> Recuperado de </w:t>
      </w:r>
      <w:hyperlink r:id="rId8" w:history="1">
        <w:r>
          <w:rPr>
            <w:rStyle w:val="Hipervnculo"/>
            <w:rFonts w:ascii="Times New Roman" w:hAnsi="Times New Roman" w:cs="Times New Roman"/>
            <w:sz w:val="24"/>
            <w:szCs w:val="24"/>
          </w:rPr>
          <w:t>https://ddd.uab.cat/pub/caplli/2010/123768/dergenigu_a2010v2p27iSPA.pdf</w:t>
        </w:r>
      </w:hyperlink>
    </w:p>
    <w:p w:rsidR="004D5BA0" w:rsidRDefault="004D5BA0" w:rsidP="004D5BA0">
      <w:pPr>
        <w:spacing w:after="0" w:line="240" w:lineRule="auto"/>
        <w:ind w:hanging="709"/>
        <w:jc w:val="both"/>
        <w:rPr>
          <w:rFonts w:ascii="Times New Roman" w:hAnsi="Times New Roman" w:cs="Times New Roman"/>
          <w:sz w:val="24"/>
          <w:szCs w:val="24"/>
        </w:rPr>
      </w:pPr>
      <w:r>
        <w:rPr>
          <w:rFonts w:ascii="Times New Roman" w:hAnsi="Times New Roman" w:cs="Times New Roman"/>
          <w:sz w:val="24"/>
          <w:szCs w:val="24"/>
        </w:rPr>
        <w:t xml:space="preserve">DIEZ-PICAZO, L. El principio de igualdad ante la ley. En </w:t>
      </w:r>
      <w:r>
        <w:rPr>
          <w:rFonts w:ascii="Times New Roman" w:hAnsi="Times New Roman" w:cs="Times New Roman"/>
          <w:i/>
          <w:sz w:val="24"/>
          <w:szCs w:val="24"/>
        </w:rPr>
        <w:t>Sistema de Derechos Fundamentales. Estudios y Comentarios Legislativos</w:t>
      </w:r>
      <w:r>
        <w:rPr>
          <w:rFonts w:ascii="Times New Roman" w:hAnsi="Times New Roman" w:cs="Times New Roman"/>
          <w:sz w:val="24"/>
          <w:szCs w:val="24"/>
        </w:rPr>
        <w:t>. España: Editorial Aranzandi (2008)</w:t>
      </w:r>
    </w:p>
    <w:p w:rsidR="004D5BA0" w:rsidRDefault="004D5BA0" w:rsidP="004D5BA0">
      <w:pPr>
        <w:shd w:val="clear" w:color="auto" w:fill="FFFFFF"/>
        <w:spacing w:after="0" w:line="240" w:lineRule="auto"/>
        <w:ind w:hanging="709"/>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 xml:space="preserve">MAQUEDA ABREU, M. L. La violencia de género: entre el concepto jurídico y la realidad social. En </w:t>
      </w:r>
      <w:r>
        <w:rPr>
          <w:rFonts w:ascii="Times New Roman" w:eastAsia="Times New Roman" w:hAnsi="Times New Roman" w:cs="Times New Roman"/>
          <w:i/>
          <w:spacing w:val="-3"/>
          <w:sz w:val="24"/>
          <w:szCs w:val="24"/>
          <w:lang w:eastAsia="es-ES"/>
        </w:rPr>
        <w:t xml:space="preserve">Revista Electrónica de Ciencia Penal y Criminológica. </w:t>
      </w:r>
      <w:r>
        <w:rPr>
          <w:rFonts w:ascii="Times New Roman" w:eastAsia="Times New Roman" w:hAnsi="Times New Roman" w:cs="Times New Roman"/>
          <w:spacing w:val="-3"/>
          <w:sz w:val="24"/>
          <w:szCs w:val="24"/>
          <w:lang w:eastAsia="es-ES"/>
        </w:rPr>
        <w:t xml:space="preserve">(2006). Recuperado de </w:t>
      </w:r>
      <w:hyperlink r:id="rId9" w:history="1">
        <w:r>
          <w:rPr>
            <w:rStyle w:val="Hipervnculo"/>
            <w:rFonts w:ascii="Times New Roman" w:eastAsia="Times New Roman" w:hAnsi="Times New Roman" w:cs="Times New Roman"/>
            <w:spacing w:val="-3"/>
            <w:sz w:val="24"/>
            <w:szCs w:val="24"/>
            <w:lang w:eastAsia="es-ES"/>
          </w:rPr>
          <w:t>http://criminet.ugr.es/recpc/08/recpc08-02.pdf</w:t>
        </w:r>
      </w:hyperlink>
    </w:p>
    <w:p w:rsidR="004D5BA0" w:rsidRDefault="004D5BA0" w:rsidP="004D5BA0">
      <w:pPr>
        <w:shd w:val="clear" w:color="auto" w:fill="FFFFFF"/>
        <w:spacing w:after="0" w:line="240" w:lineRule="auto"/>
        <w:ind w:hanging="709"/>
        <w:jc w:val="both"/>
        <w:rPr>
          <w:rFonts w:ascii="Times New Roman" w:eastAsia="Times New Roman" w:hAnsi="Times New Roman" w:cs="Times New Roman"/>
          <w:spacing w:val="-3"/>
          <w:sz w:val="24"/>
          <w:szCs w:val="24"/>
          <w:lang w:eastAsia="es-ES"/>
        </w:rPr>
      </w:pPr>
      <w:r>
        <w:rPr>
          <w:rFonts w:ascii="Times New Roman" w:hAnsi="Times New Roman" w:cs="Times New Roman"/>
          <w:bCs/>
          <w:sz w:val="24"/>
          <w:szCs w:val="24"/>
          <w:shd w:val="clear" w:color="auto" w:fill="FFFFFF"/>
        </w:rPr>
        <w:t xml:space="preserve">LAURENZO COPELLO, P. La violencia de género en la Ley integral: valoración político-criminal. </w:t>
      </w:r>
      <w:r>
        <w:rPr>
          <w:rFonts w:ascii="Times New Roman" w:hAnsi="Times New Roman" w:cs="Times New Roman"/>
          <w:bCs/>
          <w:i/>
          <w:sz w:val="24"/>
          <w:szCs w:val="24"/>
          <w:shd w:val="clear" w:color="auto" w:fill="FFFFFF"/>
        </w:rPr>
        <w:t>Revista Electrónica de Ciencia Penal y Criminología</w:t>
      </w:r>
      <w:r>
        <w:rPr>
          <w:rFonts w:ascii="Times New Roman" w:hAnsi="Times New Roman" w:cs="Times New Roman"/>
          <w:bCs/>
          <w:sz w:val="24"/>
          <w:szCs w:val="24"/>
          <w:shd w:val="clear" w:color="auto" w:fill="FFFFFF"/>
        </w:rPr>
        <w:t>. 7-8. (2005). Recuperado de http://criminet.ugr.es/recpc/07/recpc07-08.pdf</w:t>
      </w:r>
    </w:p>
    <w:p w:rsidR="004D5BA0" w:rsidRDefault="004D5BA0" w:rsidP="004D5BA0">
      <w:pPr>
        <w:shd w:val="clear" w:color="auto" w:fill="FFFFFF"/>
        <w:spacing w:after="0" w:line="240" w:lineRule="auto"/>
        <w:ind w:hanging="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LAURENZO, P. El derecho penal frente a la violencia de género. </w:t>
      </w:r>
      <w:r>
        <w:rPr>
          <w:rFonts w:ascii="Times New Roman" w:hAnsi="Times New Roman" w:cs="Times New Roman"/>
          <w:bCs/>
          <w:i/>
          <w:sz w:val="24"/>
          <w:szCs w:val="24"/>
          <w:shd w:val="clear" w:color="auto" w:fill="FFFFFF"/>
        </w:rPr>
        <w:t>Revista R. Emerj</w:t>
      </w:r>
      <w:r>
        <w:rPr>
          <w:rFonts w:ascii="Times New Roman" w:hAnsi="Times New Roman" w:cs="Times New Roman"/>
          <w:bCs/>
          <w:sz w:val="24"/>
          <w:szCs w:val="24"/>
          <w:shd w:val="clear" w:color="auto" w:fill="FFFFFF"/>
        </w:rPr>
        <w:t>. 15 (57). (2012). Recuperado de http://www.emerj.tjrj.jus.br/revistaemerj_online/edicoes/revista57/revista57_142.pdf</w:t>
      </w:r>
    </w:p>
    <w:p w:rsidR="004D5BA0" w:rsidRDefault="004D5BA0" w:rsidP="004D5BA0">
      <w:pPr>
        <w:shd w:val="clear" w:color="auto" w:fill="FFFFFF"/>
        <w:spacing w:after="0" w:line="240" w:lineRule="auto"/>
        <w:ind w:hanging="709"/>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LEY NO. 779 </w:t>
      </w:r>
      <w:r>
        <w:rPr>
          <w:rFonts w:ascii="Times New Roman" w:eastAsia="Calibri" w:hAnsi="Times New Roman" w:cs="Times New Roman"/>
          <w:bCs/>
          <w:sz w:val="24"/>
          <w:szCs w:val="24"/>
          <w:lang w:val="es-ES_tradnl"/>
        </w:rPr>
        <w:t xml:space="preserve">LEY INTEGRAL CONTRA LA VIOLENCIA HACIA LAS MUJERES Y DE REFORMAS A LA LEY NO. 641 CÓDIGO PENAL. </w:t>
      </w:r>
      <w:r>
        <w:rPr>
          <w:rFonts w:ascii="Times New Roman" w:hAnsi="Times New Roman" w:cs="Times New Roman"/>
          <w:sz w:val="24"/>
          <w:szCs w:val="24"/>
        </w:rPr>
        <w:t xml:space="preserve">Publicada en </w:t>
      </w:r>
      <w:r>
        <w:rPr>
          <w:rFonts w:ascii="Times New Roman" w:hAnsi="Times New Roman" w:cs="Times New Roman"/>
          <w:i/>
          <w:sz w:val="24"/>
          <w:szCs w:val="24"/>
        </w:rPr>
        <w:t>La Gaceta Diario Oficial</w:t>
      </w:r>
      <w:r>
        <w:rPr>
          <w:rFonts w:ascii="Times New Roman" w:hAnsi="Times New Roman" w:cs="Times New Roman"/>
          <w:sz w:val="24"/>
          <w:szCs w:val="24"/>
        </w:rPr>
        <w:t xml:space="preserve"> No. 35, del 22 de febrero de 2012. </w:t>
      </w:r>
      <w:r>
        <w:rPr>
          <w:rFonts w:ascii="Times New Roman" w:hAnsi="Times New Roman" w:cs="Times New Roman"/>
          <w:bCs/>
          <w:sz w:val="24"/>
          <w:szCs w:val="24"/>
          <w:shd w:val="clear" w:color="auto" w:fill="FFFFFF"/>
        </w:rPr>
        <w:t>Nicaragua. (2012)</w:t>
      </w:r>
    </w:p>
    <w:p w:rsidR="004D5BA0" w:rsidRDefault="004D5BA0" w:rsidP="004D5BA0">
      <w:pPr>
        <w:spacing w:after="0" w:line="240" w:lineRule="auto"/>
        <w:ind w:hanging="709"/>
        <w:jc w:val="both"/>
        <w:rPr>
          <w:rFonts w:ascii="Times New Roman" w:hAnsi="Times New Roman" w:cs="Times New Roman"/>
          <w:sz w:val="24"/>
          <w:szCs w:val="24"/>
        </w:rPr>
      </w:pPr>
    </w:p>
    <w:p w:rsidR="004D5BA0" w:rsidRPr="004D5BA0" w:rsidRDefault="004D5BA0" w:rsidP="00356C48">
      <w:pPr>
        <w:spacing w:line="360" w:lineRule="auto"/>
        <w:jc w:val="both"/>
        <w:rPr>
          <w:rFonts w:ascii="Times New Roman" w:hAnsi="Times New Roman" w:cs="Times New Roman"/>
          <w:b/>
          <w:sz w:val="24"/>
          <w:szCs w:val="24"/>
        </w:rPr>
      </w:pPr>
    </w:p>
    <w:p w:rsidR="00356C48" w:rsidRDefault="00356C48" w:rsidP="004E7E1B">
      <w:pPr>
        <w:spacing w:line="360" w:lineRule="auto"/>
        <w:jc w:val="both"/>
        <w:rPr>
          <w:rFonts w:ascii="Gill Sans MT" w:hAnsi="Gill Sans MT"/>
          <w:sz w:val="24"/>
          <w:szCs w:val="24"/>
        </w:rPr>
      </w:pPr>
    </w:p>
    <w:p w:rsidR="004E7E1B" w:rsidRDefault="004E7E1B" w:rsidP="00DC1CAE">
      <w:pPr>
        <w:spacing w:after="0" w:line="360" w:lineRule="auto"/>
        <w:jc w:val="both"/>
        <w:rPr>
          <w:rFonts w:ascii="Times New Roman" w:eastAsia="Times New Roman" w:hAnsi="Times New Roman" w:cs="Times New Roman"/>
          <w:spacing w:val="-3"/>
          <w:sz w:val="24"/>
          <w:szCs w:val="24"/>
          <w:lang w:eastAsia="es-ES"/>
        </w:rPr>
      </w:pPr>
    </w:p>
    <w:p w:rsidR="00DC1CAE" w:rsidRDefault="00DC1CAE" w:rsidP="00DC1CAE">
      <w:pPr>
        <w:spacing w:after="0" w:line="360" w:lineRule="auto"/>
        <w:jc w:val="both"/>
        <w:rPr>
          <w:rFonts w:ascii="Times New Roman" w:eastAsia="Times New Roman" w:hAnsi="Times New Roman" w:cs="Times New Roman"/>
          <w:spacing w:val="-3"/>
          <w:sz w:val="24"/>
          <w:szCs w:val="24"/>
          <w:lang w:eastAsia="es-ES"/>
        </w:rPr>
      </w:pPr>
    </w:p>
    <w:p w:rsidR="00DC1CAE" w:rsidRDefault="00DC1CAE" w:rsidP="00DC1CAE">
      <w:pPr>
        <w:spacing w:after="0" w:line="360" w:lineRule="auto"/>
        <w:jc w:val="both"/>
        <w:rPr>
          <w:rFonts w:ascii="Times New Roman" w:eastAsia="Times New Roman" w:hAnsi="Times New Roman" w:cs="Times New Roman"/>
          <w:spacing w:val="-3"/>
          <w:sz w:val="24"/>
          <w:szCs w:val="24"/>
          <w:lang w:eastAsia="es-ES"/>
        </w:rPr>
      </w:pPr>
    </w:p>
    <w:p w:rsidR="006774AB" w:rsidRDefault="006774AB" w:rsidP="006774AB">
      <w:pPr>
        <w:spacing w:after="0" w:line="360" w:lineRule="auto"/>
        <w:jc w:val="both"/>
        <w:rPr>
          <w:rFonts w:ascii="Times New Roman" w:eastAsia="Times New Roman" w:hAnsi="Times New Roman" w:cs="Times New Roman"/>
          <w:spacing w:val="-3"/>
          <w:sz w:val="24"/>
          <w:szCs w:val="24"/>
          <w:lang w:eastAsia="es-ES"/>
        </w:rPr>
      </w:pPr>
    </w:p>
    <w:p w:rsidR="006774AB" w:rsidRDefault="006774AB" w:rsidP="006774AB"/>
    <w:sectPr w:rsidR="006774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0FA" w:rsidRDefault="001C70FA" w:rsidP="006774AB">
      <w:pPr>
        <w:spacing w:after="0" w:line="240" w:lineRule="auto"/>
      </w:pPr>
      <w:r>
        <w:separator/>
      </w:r>
    </w:p>
  </w:endnote>
  <w:endnote w:type="continuationSeparator" w:id="0">
    <w:p w:rsidR="001C70FA" w:rsidRDefault="001C70FA" w:rsidP="0067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0FA" w:rsidRDefault="001C70FA" w:rsidP="006774AB">
      <w:pPr>
        <w:spacing w:after="0" w:line="240" w:lineRule="auto"/>
      </w:pPr>
      <w:r>
        <w:separator/>
      </w:r>
    </w:p>
  </w:footnote>
  <w:footnote w:type="continuationSeparator" w:id="0">
    <w:p w:rsidR="001C70FA" w:rsidRDefault="001C70FA" w:rsidP="00677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427A3"/>
    <w:multiLevelType w:val="hybridMultilevel"/>
    <w:tmpl w:val="15444F1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AB"/>
    <w:rsid w:val="00155837"/>
    <w:rsid w:val="001C70FA"/>
    <w:rsid w:val="00356C48"/>
    <w:rsid w:val="004D5BA0"/>
    <w:rsid w:val="004E7E1B"/>
    <w:rsid w:val="006774AB"/>
    <w:rsid w:val="00690162"/>
    <w:rsid w:val="009B57C3"/>
    <w:rsid w:val="00D21936"/>
    <w:rsid w:val="00DC1CAE"/>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116B"/>
  <w15:chartTrackingRefBased/>
  <w15:docId w15:val="{DA59ECE3-28D1-4659-B65C-E53AB5DA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774AB"/>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6774AB"/>
    <w:rPr>
      <w:sz w:val="20"/>
      <w:szCs w:val="20"/>
      <w:lang w:val="es-ES"/>
    </w:rPr>
  </w:style>
  <w:style w:type="character" w:styleId="Refdenotaalpie">
    <w:name w:val="footnote reference"/>
    <w:basedOn w:val="Fuentedeprrafopredeter"/>
    <w:uiPriority w:val="99"/>
    <w:semiHidden/>
    <w:unhideWhenUsed/>
    <w:rsid w:val="006774AB"/>
    <w:rPr>
      <w:vertAlign w:val="superscript"/>
    </w:rPr>
  </w:style>
  <w:style w:type="paragraph" w:styleId="Prrafodelista">
    <w:name w:val="List Paragraph"/>
    <w:basedOn w:val="Normal"/>
    <w:uiPriority w:val="34"/>
    <w:qFormat/>
    <w:rsid w:val="00356C48"/>
    <w:pPr>
      <w:spacing w:after="200" w:line="276" w:lineRule="auto"/>
      <w:ind w:left="720"/>
      <w:contextualSpacing/>
    </w:pPr>
    <w:rPr>
      <w:lang w:val="es-ES"/>
    </w:rPr>
  </w:style>
  <w:style w:type="character" w:styleId="Hipervnculo">
    <w:name w:val="Hyperlink"/>
    <w:basedOn w:val="Fuentedeprrafopredeter"/>
    <w:uiPriority w:val="99"/>
    <w:semiHidden/>
    <w:unhideWhenUsed/>
    <w:rsid w:val="004D5B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9332">
      <w:bodyDiv w:val="1"/>
      <w:marLeft w:val="0"/>
      <w:marRight w:val="0"/>
      <w:marTop w:val="0"/>
      <w:marBottom w:val="0"/>
      <w:divBdr>
        <w:top w:val="none" w:sz="0" w:space="0" w:color="auto"/>
        <w:left w:val="none" w:sz="0" w:space="0" w:color="auto"/>
        <w:bottom w:val="none" w:sz="0" w:space="0" w:color="auto"/>
        <w:right w:val="none" w:sz="0" w:space="0" w:color="auto"/>
      </w:divBdr>
    </w:div>
    <w:div w:id="326137157">
      <w:bodyDiv w:val="1"/>
      <w:marLeft w:val="0"/>
      <w:marRight w:val="0"/>
      <w:marTop w:val="0"/>
      <w:marBottom w:val="0"/>
      <w:divBdr>
        <w:top w:val="none" w:sz="0" w:space="0" w:color="auto"/>
        <w:left w:val="none" w:sz="0" w:space="0" w:color="auto"/>
        <w:bottom w:val="none" w:sz="0" w:space="0" w:color="auto"/>
        <w:right w:val="none" w:sz="0" w:space="0" w:color="auto"/>
      </w:divBdr>
    </w:div>
    <w:div w:id="349110542">
      <w:bodyDiv w:val="1"/>
      <w:marLeft w:val="0"/>
      <w:marRight w:val="0"/>
      <w:marTop w:val="0"/>
      <w:marBottom w:val="0"/>
      <w:divBdr>
        <w:top w:val="none" w:sz="0" w:space="0" w:color="auto"/>
        <w:left w:val="none" w:sz="0" w:space="0" w:color="auto"/>
        <w:bottom w:val="none" w:sz="0" w:space="0" w:color="auto"/>
        <w:right w:val="none" w:sz="0" w:space="0" w:color="auto"/>
      </w:divBdr>
    </w:div>
    <w:div w:id="358434621">
      <w:bodyDiv w:val="1"/>
      <w:marLeft w:val="0"/>
      <w:marRight w:val="0"/>
      <w:marTop w:val="0"/>
      <w:marBottom w:val="0"/>
      <w:divBdr>
        <w:top w:val="none" w:sz="0" w:space="0" w:color="auto"/>
        <w:left w:val="none" w:sz="0" w:space="0" w:color="auto"/>
        <w:bottom w:val="none" w:sz="0" w:space="0" w:color="auto"/>
        <w:right w:val="none" w:sz="0" w:space="0" w:color="auto"/>
      </w:divBdr>
    </w:div>
    <w:div w:id="634683360">
      <w:bodyDiv w:val="1"/>
      <w:marLeft w:val="0"/>
      <w:marRight w:val="0"/>
      <w:marTop w:val="0"/>
      <w:marBottom w:val="0"/>
      <w:divBdr>
        <w:top w:val="none" w:sz="0" w:space="0" w:color="auto"/>
        <w:left w:val="none" w:sz="0" w:space="0" w:color="auto"/>
        <w:bottom w:val="none" w:sz="0" w:space="0" w:color="auto"/>
        <w:right w:val="none" w:sz="0" w:space="0" w:color="auto"/>
      </w:divBdr>
    </w:div>
    <w:div w:id="820538536">
      <w:bodyDiv w:val="1"/>
      <w:marLeft w:val="0"/>
      <w:marRight w:val="0"/>
      <w:marTop w:val="0"/>
      <w:marBottom w:val="0"/>
      <w:divBdr>
        <w:top w:val="none" w:sz="0" w:space="0" w:color="auto"/>
        <w:left w:val="none" w:sz="0" w:space="0" w:color="auto"/>
        <w:bottom w:val="none" w:sz="0" w:space="0" w:color="auto"/>
        <w:right w:val="none" w:sz="0" w:space="0" w:color="auto"/>
      </w:divBdr>
    </w:div>
    <w:div w:id="1091317085">
      <w:bodyDiv w:val="1"/>
      <w:marLeft w:val="0"/>
      <w:marRight w:val="0"/>
      <w:marTop w:val="0"/>
      <w:marBottom w:val="0"/>
      <w:divBdr>
        <w:top w:val="none" w:sz="0" w:space="0" w:color="auto"/>
        <w:left w:val="none" w:sz="0" w:space="0" w:color="auto"/>
        <w:bottom w:val="none" w:sz="0" w:space="0" w:color="auto"/>
        <w:right w:val="none" w:sz="0" w:space="0" w:color="auto"/>
      </w:divBdr>
    </w:div>
    <w:div w:id="1206021790">
      <w:bodyDiv w:val="1"/>
      <w:marLeft w:val="0"/>
      <w:marRight w:val="0"/>
      <w:marTop w:val="0"/>
      <w:marBottom w:val="0"/>
      <w:divBdr>
        <w:top w:val="none" w:sz="0" w:space="0" w:color="auto"/>
        <w:left w:val="none" w:sz="0" w:space="0" w:color="auto"/>
        <w:bottom w:val="none" w:sz="0" w:space="0" w:color="auto"/>
        <w:right w:val="none" w:sz="0" w:space="0" w:color="auto"/>
      </w:divBdr>
    </w:div>
    <w:div w:id="1336687149">
      <w:bodyDiv w:val="1"/>
      <w:marLeft w:val="0"/>
      <w:marRight w:val="0"/>
      <w:marTop w:val="0"/>
      <w:marBottom w:val="0"/>
      <w:divBdr>
        <w:top w:val="none" w:sz="0" w:space="0" w:color="auto"/>
        <w:left w:val="none" w:sz="0" w:space="0" w:color="auto"/>
        <w:bottom w:val="none" w:sz="0" w:space="0" w:color="auto"/>
        <w:right w:val="none" w:sz="0" w:space="0" w:color="auto"/>
      </w:divBdr>
    </w:div>
    <w:div w:id="1376656922">
      <w:bodyDiv w:val="1"/>
      <w:marLeft w:val="0"/>
      <w:marRight w:val="0"/>
      <w:marTop w:val="0"/>
      <w:marBottom w:val="0"/>
      <w:divBdr>
        <w:top w:val="none" w:sz="0" w:space="0" w:color="auto"/>
        <w:left w:val="none" w:sz="0" w:space="0" w:color="auto"/>
        <w:bottom w:val="none" w:sz="0" w:space="0" w:color="auto"/>
        <w:right w:val="none" w:sz="0" w:space="0" w:color="auto"/>
      </w:divBdr>
    </w:div>
    <w:div w:id="1472938733">
      <w:bodyDiv w:val="1"/>
      <w:marLeft w:val="0"/>
      <w:marRight w:val="0"/>
      <w:marTop w:val="0"/>
      <w:marBottom w:val="0"/>
      <w:divBdr>
        <w:top w:val="none" w:sz="0" w:space="0" w:color="auto"/>
        <w:left w:val="none" w:sz="0" w:space="0" w:color="auto"/>
        <w:bottom w:val="none" w:sz="0" w:space="0" w:color="auto"/>
        <w:right w:val="none" w:sz="0" w:space="0" w:color="auto"/>
      </w:divBdr>
    </w:div>
    <w:div w:id="1528787393">
      <w:bodyDiv w:val="1"/>
      <w:marLeft w:val="0"/>
      <w:marRight w:val="0"/>
      <w:marTop w:val="0"/>
      <w:marBottom w:val="0"/>
      <w:divBdr>
        <w:top w:val="none" w:sz="0" w:space="0" w:color="auto"/>
        <w:left w:val="none" w:sz="0" w:space="0" w:color="auto"/>
        <w:bottom w:val="none" w:sz="0" w:space="0" w:color="auto"/>
        <w:right w:val="none" w:sz="0" w:space="0" w:color="auto"/>
      </w:divBdr>
    </w:div>
    <w:div w:id="1552182507">
      <w:bodyDiv w:val="1"/>
      <w:marLeft w:val="0"/>
      <w:marRight w:val="0"/>
      <w:marTop w:val="0"/>
      <w:marBottom w:val="0"/>
      <w:divBdr>
        <w:top w:val="none" w:sz="0" w:space="0" w:color="auto"/>
        <w:left w:val="none" w:sz="0" w:space="0" w:color="auto"/>
        <w:bottom w:val="none" w:sz="0" w:space="0" w:color="auto"/>
        <w:right w:val="none" w:sz="0" w:space="0" w:color="auto"/>
      </w:divBdr>
    </w:div>
    <w:div w:id="1636720434">
      <w:bodyDiv w:val="1"/>
      <w:marLeft w:val="0"/>
      <w:marRight w:val="0"/>
      <w:marTop w:val="0"/>
      <w:marBottom w:val="0"/>
      <w:divBdr>
        <w:top w:val="none" w:sz="0" w:space="0" w:color="auto"/>
        <w:left w:val="none" w:sz="0" w:space="0" w:color="auto"/>
        <w:bottom w:val="none" w:sz="0" w:space="0" w:color="auto"/>
        <w:right w:val="none" w:sz="0" w:space="0" w:color="auto"/>
      </w:divBdr>
    </w:div>
    <w:div w:id="1777552784">
      <w:bodyDiv w:val="1"/>
      <w:marLeft w:val="0"/>
      <w:marRight w:val="0"/>
      <w:marTop w:val="0"/>
      <w:marBottom w:val="0"/>
      <w:divBdr>
        <w:top w:val="none" w:sz="0" w:space="0" w:color="auto"/>
        <w:left w:val="none" w:sz="0" w:space="0" w:color="auto"/>
        <w:bottom w:val="none" w:sz="0" w:space="0" w:color="auto"/>
        <w:right w:val="none" w:sz="0" w:space="0" w:color="auto"/>
      </w:divBdr>
    </w:div>
    <w:div w:id="1857036830">
      <w:bodyDiv w:val="1"/>
      <w:marLeft w:val="0"/>
      <w:marRight w:val="0"/>
      <w:marTop w:val="0"/>
      <w:marBottom w:val="0"/>
      <w:divBdr>
        <w:top w:val="none" w:sz="0" w:space="0" w:color="auto"/>
        <w:left w:val="none" w:sz="0" w:space="0" w:color="auto"/>
        <w:bottom w:val="none" w:sz="0" w:space="0" w:color="auto"/>
        <w:right w:val="none" w:sz="0" w:space="0" w:color="auto"/>
      </w:divBdr>
    </w:div>
    <w:div w:id="19742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d.uab.cat/pub/caplli/2010/123768/dergenigu_a2010v2p27iSPA.pdf" TargetMode="External"/><Relationship Id="rId3" Type="http://schemas.openxmlformats.org/officeDocument/2006/relationships/settings" Target="settings.xml"/><Relationship Id="rId7" Type="http://schemas.openxmlformats.org/officeDocument/2006/relationships/hyperlink" Target="http://www.juntadeandalucia.es/iam/catalogo/doc/articulo14/Articulo14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iminet.ugr.es/recpc/08/recpc08-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7235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Suhey Mercedes Fúnez Narvaez</dc:creator>
  <cp:keywords/>
  <dc:description/>
  <cp:lastModifiedBy>Suhey Mercedes Fúnez Narvaez</cp:lastModifiedBy>
  <cp:revision>2</cp:revision>
  <dcterms:created xsi:type="dcterms:W3CDTF">2021-04-19T16:52:00Z</dcterms:created>
  <dcterms:modified xsi:type="dcterms:W3CDTF">2021-04-19T16:52:00Z</dcterms:modified>
</cp:coreProperties>
</file>